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5199A7" w14:textId="77777777" w:rsidR="009374C3" w:rsidRDefault="007E49DB">
      <w:pPr>
        <w:pStyle w:val="BodyText"/>
        <w:rPr>
          <w:rFonts w:ascii="Times New Roman"/>
        </w:rPr>
      </w:pPr>
      <w:r>
        <w:pict w14:anchorId="01519A7F">
          <v:group id="_x0000_s2053" style="position:absolute;margin-left:-.5pt;margin-top:35.8pt;width:595.6pt;height:567.95pt;z-index:-15881216;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015199A8" w14:textId="77777777" w:rsidR="009374C3" w:rsidRDefault="009374C3">
      <w:pPr>
        <w:pStyle w:val="BodyText"/>
        <w:rPr>
          <w:rFonts w:ascii="Times New Roman"/>
        </w:rPr>
      </w:pPr>
    </w:p>
    <w:p w14:paraId="015199A9" w14:textId="77777777" w:rsidR="009374C3" w:rsidRDefault="009374C3">
      <w:pPr>
        <w:pStyle w:val="BodyText"/>
        <w:rPr>
          <w:rFonts w:ascii="Times New Roman"/>
        </w:rPr>
      </w:pPr>
    </w:p>
    <w:p w14:paraId="015199AA" w14:textId="77777777" w:rsidR="009374C3" w:rsidRDefault="009374C3">
      <w:pPr>
        <w:pStyle w:val="BodyText"/>
        <w:rPr>
          <w:rFonts w:ascii="Times New Roman"/>
        </w:rPr>
      </w:pPr>
    </w:p>
    <w:p w14:paraId="015199AB" w14:textId="77777777" w:rsidR="009374C3" w:rsidRDefault="009374C3">
      <w:pPr>
        <w:pStyle w:val="BodyText"/>
        <w:rPr>
          <w:rFonts w:ascii="Times New Roman"/>
        </w:rPr>
      </w:pPr>
    </w:p>
    <w:p w14:paraId="015199AC" w14:textId="77777777" w:rsidR="009374C3" w:rsidRDefault="009374C3">
      <w:pPr>
        <w:pStyle w:val="BodyText"/>
        <w:rPr>
          <w:rFonts w:ascii="Times New Roman"/>
        </w:rPr>
      </w:pPr>
    </w:p>
    <w:p w14:paraId="015199AD" w14:textId="77777777" w:rsidR="009374C3" w:rsidRDefault="009374C3">
      <w:pPr>
        <w:pStyle w:val="BodyText"/>
        <w:rPr>
          <w:rFonts w:ascii="Times New Roman"/>
        </w:rPr>
      </w:pPr>
    </w:p>
    <w:p w14:paraId="015199AE" w14:textId="77777777" w:rsidR="009374C3" w:rsidRDefault="009374C3">
      <w:pPr>
        <w:pStyle w:val="BodyText"/>
        <w:rPr>
          <w:rFonts w:ascii="Times New Roman"/>
        </w:rPr>
      </w:pPr>
    </w:p>
    <w:p w14:paraId="015199AF" w14:textId="77777777" w:rsidR="009374C3" w:rsidRDefault="009374C3">
      <w:pPr>
        <w:pStyle w:val="BodyText"/>
        <w:rPr>
          <w:rFonts w:ascii="Times New Roman"/>
        </w:rPr>
      </w:pPr>
    </w:p>
    <w:p w14:paraId="015199B0" w14:textId="77777777" w:rsidR="009374C3" w:rsidRDefault="009374C3">
      <w:pPr>
        <w:pStyle w:val="BodyText"/>
        <w:rPr>
          <w:rFonts w:ascii="Times New Roman"/>
        </w:rPr>
      </w:pPr>
    </w:p>
    <w:p w14:paraId="015199B1" w14:textId="77777777" w:rsidR="009374C3" w:rsidRDefault="009374C3">
      <w:pPr>
        <w:pStyle w:val="BodyText"/>
        <w:rPr>
          <w:rFonts w:ascii="Times New Roman"/>
        </w:rPr>
      </w:pPr>
    </w:p>
    <w:p w14:paraId="015199B2" w14:textId="77777777" w:rsidR="009374C3" w:rsidRDefault="00562C4E">
      <w:pPr>
        <w:pStyle w:val="Heading1"/>
        <w:spacing w:before="222" w:line="264" w:lineRule="auto"/>
        <w:ind w:right="2652"/>
      </w:pPr>
      <w:r>
        <w:rPr>
          <w:color w:val="57585B"/>
        </w:rPr>
        <w:t>Препоръка на Съвета за намаляване на въздействието върху околната среда</w:t>
      </w:r>
    </w:p>
    <w:p w14:paraId="015199B3" w14:textId="77777777" w:rsidR="009374C3" w:rsidRDefault="00562C4E">
      <w:pPr>
        <w:spacing w:line="264" w:lineRule="auto"/>
        <w:ind w:left="1277" w:right="3273" w:hanging="353"/>
        <w:rPr>
          <w:sz w:val="40"/>
        </w:rPr>
      </w:pPr>
      <w:r>
        <w:rPr>
          <w:color w:val="57585B"/>
          <w:sz w:val="40"/>
        </w:rPr>
        <w:t>от използването на енергия в битовия и търговския</w:t>
      </w:r>
    </w:p>
    <w:p w14:paraId="015199B4" w14:textId="77777777" w:rsidR="009374C3" w:rsidRDefault="00562C4E">
      <w:pPr>
        <w:pStyle w:val="Heading1"/>
        <w:spacing w:before="4"/>
        <w:ind w:left="4537" w:firstLine="0"/>
      </w:pPr>
      <w:r>
        <w:rPr>
          <w:color w:val="57585B"/>
        </w:rPr>
        <w:t>сектор</w:t>
      </w:r>
    </w:p>
    <w:p w14:paraId="015199B5" w14:textId="77777777" w:rsidR="009374C3" w:rsidRDefault="009374C3">
      <w:pPr>
        <w:pStyle w:val="BodyText"/>
      </w:pPr>
    </w:p>
    <w:p w14:paraId="015199B6" w14:textId="77777777" w:rsidR="009374C3" w:rsidRDefault="009374C3">
      <w:pPr>
        <w:pStyle w:val="BodyText"/>
      </w:pPr>
    </w:p>
    <w:p w14:paraId="015199B7" w14:textId="77777777" w:rsidR="009374C3" w:rsidRDefault="009374C3">
      <w:pPr>
        <w:pStyle w:val="BodyText"/>
      </w:pPr>
    </w:p>
    <w:p w14:paraId="015199B8" w14:textId="77777777" w:rsidR="009374C3" w:rsidRDefault="009374C3">
      <w:pPr>
        <w:pStyle w:val="BodyText"/>
      </w:pPr>
    </w:p>
    <w:p w14:paraId="015199B9" w14:textId="77777777" w:rsidR="009374C3" w:rsidRDefault="009374C3">
      <w:pPr>
        <w:pStyle w:val="BodyText"/>
      </w:pPr>
    </w:p>
    <w:p w14:paraId="015199BA" w14:textId="77777777" w:rsidR="009374C3" w:rsidRDefault="009374C3">
      <w:pPr>
        <w:pStyle w:val="BodyText"/>
      </w:pPr>
    </w:p>
    <w:p w14:paraId="015199BB" w14:textId="77777777" w:rsidR="009374C3" w:rsidRDefault="009374C3">
      <w:pPr>
        <w:pStyle w:val="BodyText"/>
      </w:pPr>
    </w:p>
    <w:p w14:paraId="015199BC" w14:textId="77777777" w:rsidR="009374C3" w:rsidRDefault="009374C3">
      <w:pPr>
        <w:pStyle w:val="BodyText"/>
      </w:pPr>
    </w:p>
    <w:p w14:paraId="015199BD" w14:textId="77777777" w:rsidR="009374C3" w:rsidRDefault="009374C3">
      <w:pPr>
        <w:pStyle w:val="BodyText"/>
      </w:pPr>
    </w:p>
    <w:p w14:paraId="015199BE" w14:textId="77777777" w:rsidR="009374C3" w:rsidRDefault="009374C3">
      <w:pPr>
        <w:pStyle w:val="BodyText"/>
      </w:pPr>
    </w:p>
    <w:p w14:paraId="015199BF" w14:textId="77777777" w:rsidR="009374C3" w:rsidRDefault="009374C3">
      <w:pPr>
        <w:pStyle w:val="BodyText"/>
      </w:pPr>
    </w:p>
    <w:p w14:paraId="015199C0" w14:textId="77777777" w:rsidR="009374C3" w:rsidRDefault="009374C3">
      <w:pPr>
        <w:pStyle w:val="BodyText"/>
      </w:pPr>
    </w:p>
    <w:p w14:paraId="015199C1" w14:textId="77777777" w:rsidR="009374C3" w:rsidRDefault="009374C3">
      <w:pPr>
        <w:pStyle w:val="BodyText"/>
      </w:pPr>
    </w:p>
    <w:p w14:paraId="015199C2" w14:textId="77777777" w:rsidR="009374C3" w:rsidRDefault="009374C3">
      <w:pPr>
        <w:pStyle w:val="BodyText"/>
      </w:pPr>
    </w:p>
    <w:p w14:paraId="015199C3" w14:textId="77777777" w:rsidR="009374C3" w:rsidRDefault="009374C3">
      <w:pPr>
        <w:pStyle w:val="BodyText"/>
      </w:pPr>
    </w:p>
    <w:p w14:paraId="015199C4" w14:textId="77777777" w:rsidR="009374C3" w:rsidRDefault="009374C3">
      <w:pPr>
        <w:pStyle w:val="BodyText"/>
      </w:pPr>
    </w:p>
    <w:p w14:paraId="015199C5" w14:textId="77777777" w:rsidR="009374C3" w:rsidRDefault="009374C3">
      <w:pPr>
        <w:pStyle w:val="BodyText"/>
      </w:pPr>
    </w:p>
    <w:p w14:paraId="015199C6" w14:textId="77777777" w:rsidR="009374C3" w:rsidRDefault="009374C3">
      <w:pPr>
        <w:pStyle w:val="BodyText"/>
      </w:pPr>
    </w:p>
    <w:p w14:paraId="015199C7" w14:textId="77777777" w:rsidR="009374C3" w:rsidRDefault="009374C3">
      <w:pPr>
        <w:pStyle w:val="BodyText"/>
      </w:pPr>
    </w:p>
    <w:p w14:paraId="015199C8" w14:textId="77777777" w:rsidR="009374C3" w:rsidRDefault="009374C3">
      <w:pPr>
        <w:pStyle w:val="BodyText"/>
      </w:pPr>
    </w:p>
    <w:p w14:paraId="015199C9" w14:textId="77777777" w:rsidR="009374C3" w:rsidRDefault="009374C3">
      <w:pPr>
        <w:pStyle w:val="BodyText"/>
      </w:pPr>
    </w:p>
    <w:p w14:paraId="015199CA" w14:textId="77777777" w:rsidR="009374C3" w:rsidRDefault="009374C3">
      <w:pPr>
        <w:pStyle w:val="BodyText"/>
      </w:pPr>
    </w:p>
    <w:p w14:paraId="015199CB" w14:textId="77777777" w:rsidR="009374C3" w:rsidRDefault="009374C3">
      <w:pPr>
        <w:pStyle w:val="BodyText"/>
      </w:pPr>
    </w:p>
    <w:p w14:paraId="015199CC" w14:textId="77777777" w:rsidR="009374C3" w:rsidRDefault="00562C4E" w:rsidP="00EF0C8E">
      <w:pPr>
        <w:spacing w:before="273" w:line="204" w:lineRule="auto"/>
        <w:ind w:left="811" w:right="7088"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015199CD" w14:textId="77777777" w:rsidR="009374C3" w:rsidRDefault="009374C3">
      <w:pPr>
        <w:pStyle w:val="BodyText"/>
        <w:rPr>
          <w:rFonts w:ascii="Arial Black"/>
        </w:rPr>
      </w:pPr>
    </w:p>
    <w:p w14:paraId="015199D6" w14:textId="77777777" w:rsidR="009374C3" w:rsidRDefault="009374C3">
      <w:pPr>
        <w:pStyle w:val="BodyText"/>
        <w:rPr>
          <w:rFonts w:ascii="Arial Black"/>
        </w:rPr>
      </w:pPr>
    </w:p>
    <w:p w14:paraId="3970D286" w14:textId="77777777" w:rsidR="00EF0C8E" w:rsidRDefault="00EF0C8E">
      <w:pPr>
        <w:pStyle w:val="BodyText"/>
        <w:rPr>
          <w:rFonts w:ascii="Arial Black"/>
        </w:rPr>
      </w:pPr>
    </w:p>
    <w:p w14:paraId="6DA2459F" w14:textId="77777777" w:rsidR="00EF0C8E" w:rsidRDefault="00EF0C8E">
      <w:pPr>
        <w:pStyle w:val="BodyText"/>
        <w:rPr>
          <w:rFonts w:ascii="Arial Black"/>
        </w:rPr>
      </w:pPr>
    </w:p>
    <w:p w14:paraId="49B6BB11" w14:textId="77777777" w:rsidR="00EF0C8E" w:rsidRDefault="00EF0C8E">
      <w:pPr>
        <w:pStyle w:val="BodyText"/>
        <w:rPr>
          <w:rFonts w:ascii="Arial Black"/>
        </w:rPr>
      </w:pPr>
    </w:p>
    <w:p w14:paraId="015199D7" w14:textId="77777777" w:rsidR="009374C3" w:rsidRDefault="00562C4E">
      <w:pPr>
        <w:pStyle w:val="BodyText"/>
        <w:spacing w:before="6"/>
        <w:rPr>
          <w:rFonts w:ascii="Arial Black"/>
          <w:sz w:val="19"/>
        </w:rPr>
      </w:pPr>
      <w:r>
        <w:rPr>
          <w:noProof/>
        </w:rPr>
        <w:drawing>
          <wp:anchor distT="0" distB="0" distL="0" distR="0" simplePos="0" relativeHeight="251659264" behindDoc="0" locked="0" layoutInCell="1" allowOverlap="1" wp14:anchorId="01519A80" wp14:editId="01519A81">
            <wp:simplePos x="0" y="0"/>
            <wp:positionH relativeFrom="page">
              <wp:posOffset>5058409</wp:posOffset>
            </wp:positionH>
            <wp:positionV relativeFrom="paragraph">
              <wp:posOffset>199055</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015199D8" w14:textId="77777777" w:rsidR="009374C3" w:rsidRDefault="009374C3">
      <w:pPr>
        <w:rPr>
          <w:rFonts w:ascii="Arial Black"/>
          <w:sz w:val="19"/>
        </w:rPr>
        <w:sectPr w:rsidR="009374C3">
          <w:type w:val="continuous"/>
          <w:pgSz w:w="11920" w:h="16850"/>
          <w:pgMar w:top="720" w:right="420" w:bottom="280" w:left="1680" w:header="720" w:footer="720" w:gutter="0"/>
          <w:cols w:space="720"/>
        </w:sectPr>
      </w:pPr>
    </w:p>
    <w:p w14:paraId="015199D9" w14:textId="77777777" w:rsidR="009374C3" w:rsidRDefault="009374C3">
      <w:pPr>
        <w:pStyle w:val="BodyText"/>
        <w:rPr>
          <w:rFonts w:ascii="Arial Black"/>
        </w:rPr>
      </w:pPr>
    </w:p>
    <w:p w14:paraId="015199DA" w14:textId="77777777" w:rsidR="009374C3" w:rsidRDefault="009374C3">
      <w:pPr>
        <w:pStyle w:val="BodyText"/>
        <w:rPr>
          <w:rFonts w:ascii="Arial Black"/>
        </w:rPr>
      </w:pPr>
    </w:p>
    <w:p w14:paraId="015199DB" w14:textId="77777777" w:rsidR="009374C3" w:rsidRDefault="009374C3">
      <w:pPr>
        <w:pStyle w:val="BodyText"/>
        <w:rPr>
          <w:rFonts w:ascii="Arial Black"/>
        </w:rPr>
      </w:pPr>
    </w:p>
    <w:p w14:paraId="015199DC" w14:textId="77777777" w:rsidR="009374C3" w:rsidRDefault="009374C3">
      <w:pPr>
        <w:pStyle w:val="BodyText"/>
        <w:rPr>
          <w:rFonts w:ascii="Arial Black"/>
        </w:rPr>
      </w:pPr>
    </w:p>
    <w:p w14:paraId="015199DD" w14:textId="77777777" w:rsidR="009374C3" w:rsidRDefault="009374C3">
      <w:pPr>
        <w:pStyle w:val="BodyText"/>
        <w:rPr>
          <w:rFonts w:ascii="Arial Black"/>
        </w:rPr>
      </w:pPr>
    </w:p>
    <w:p w14:paraId="015199DE" w14:textId="77777777" w:rsidR="009374C3" w:rsidRDefault="009374C3">
      <w:pPr>
        <w:pStyle w:val="BodyText"/>
        <w:spacing w:before="1"/>
        <w:rPr>
          <w:rFonts w:ascii="Arial Black"/>
          <w:sz w:val="22"/>
        </w:rPr>
      </w:pPr>
    </w:p>
    <w:p w14:paraId="015199DF" w14:textId="77777777" w:rsidR="009374C3" w:rsidRDefault="00562C4E">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015199E0" w14:textId="77777777" w:rsidR="009374C3" w:rsidRDefault="009374C3">
      <w:pPr>
        <w:pStyle w:val="BodyText"/>
        <w:spacing w:before="10"/>
        <w:rPr>
          <w:sz w:val="15"/>
        </w:rPr>
      </w:pPr>
    </w:p>
    <w:p w14:paraId="015199E1" w14:textId="77777777" w:rsidR="009374C3" w:rsidRDefault="00562C4E">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015199E2" w14:textId="77777777" w:rsidR="009374C3" w:rsidRDefault="009374C3">
      <w:pPr>
        <w:pStyle w:val="BodyText"/>
      </w:pPr>
    </w:p>
    <w:p w14:paraId="015199E3" w14:textId="77777777" w:rsidR="009374C3" w:rsidRDefault="009374C3">
      <w:pPr>
        <w:pStyle w:val="BodyText"/>
      </w:pPr>
    </w:p>
    <w:p w14:paraId="015199E4" w14:textId="77777777" w:rsidR="009374C3" w:rsidRDefault="009374C3">
      <w:pPr>
        <w:pStyle w:val="BodyText"/>
      </w:pPr>
    </w:p>
    <w:p w14:paraId="015199E5" w14:textId="77777777" w:rsidR="009374C3" w:rsidRDefault="009374C3">
      <w:pPr>
        <w:pStyle w:val="BodyText"/>
      </w:pPr>
    </w:p>
    <w:p w14:paraId="015199E6" w14:textId="77777777" w:rsidR="009374C3" w:rsidRDefault="009374C3">
      <w:pPr>
        <w:pStyle w:val="BodyText"/>
      </w:pPr>
    </w:p>
    <w:p w14:paraId="015199E7" w14:textId="77777777" w:rsidR="009374C3" w:rsidRDefault="009374C3">
      <w:pPr>
        <w:pStyle w:val="BodyText"/>
      </w:pPr>
    </w:p>
    <w:p w14:paraId="015199E8" w14:textId="77777777" w:rsidR="009374C3" w:rsidRDefault="009374C3">
      <w:pPr>
        <w:pStyle w:val="BodyText"/>
      </w:pPr>
    </w:p>
    <w:p w14:paraId="015199E9" w14:textId="77777777" w:rsidR="009374C3" w:rsidRDefault="009374C3">
      <w:pPr>
        <w:pStyle w:val="BodyText"/>
      </w:pPr>
    </w:p>
    <w:p w14:paraId="015199EA" w14:textId="77777777" w:rsidR="009374C3" w:rsidRDefault="009374C3">
      <w:pPr>
        <w:pStyle w:val="BodyText"/>
      </w:pPr>
    </w:p>
    <w:p w14:paraId="015199EB" w14:textId="77777777" w:rsidR="009374C3" w:rsidRDefault="009374C3">
      <w:pPr>
        <w:pStyle w:val="BodyText"/>
      </w:pPr>
    </w:p>
    <w:p w14:paraId="015199EC" w14:textId="77777777" w:rsidR="009374C3" w:rsidRDefault="009374C3">
      <w:pPr>
        <w:pStyle w:val="BodyText"/>
      </w:pPr>
    </w:p>
    <w:p w14:paraId="015199ED" w14:textId="77777777" w:rsidR="009374C3" w:rsidRDefault="009374C3">
      <w:pPr>
        <w:pStyle w:val="BodyText"/>
      </w:pPr>
    </w:p>
    <w:p w14:paraId="015199EE" w14:textId="77777777" w:rsidR="009374C3" w:rsidRDefault="009374C3">
      <w:pPr>
        <w:pStyle w:val="BodyText"/>
      </w:pPr>
    </w:p>
    <w:p w14:paraId="015199EF" w14:textId="77777777" w:rsidR="009374C3" w:rsidRDefault="009374C3">
      <w:pPr>
        <w:pStyle w:val="BodyText"/>
      </w:pPr>
    </w:p>
    <w:p w14:paraId="015199F0" w14:textId="77777777" w:rsidR="009374C3" w:rsidRDefault="009374C3">
      <w:pPr>
        <w:pStyle w:val="BodyText"/>
      </w:pPr>
    </w:p>
    <w:p w14:paraId="015199F1" w14:textId="77777777" w:rsidR="009374C3" w:rsidRDefault="009374C3">
      <w:pPr>
        <w:pStyle w:val="BodyText"/>
      </w:pPr>
    </w:p>
    <w:p w14:paraId="015199F2" w14:textId="77777777" w:rsidR="009374C3" w:rsidRDefault="009374C3">
      <w:pPr>
        <w:pStyle w:val="BodyText"/>
      </w:pPr>
    </w:p>
    <w:p w14:paraId="015199F3" w14:textId="77777777" w:rsidR="009374C3" w:rsidRDefault="009374C3">
      <w:pPr>
        <w:pStyle w:val="BodyText"/>
      </w:pPr>
    </w:p>
    <w:p w14:paraId="015199F4" w14:textId="77777777" w:rsidR="009374C3" w:rsidRDefault="009374C3">
      <w:pPr>
        <w:pStyle w:val="BodyText"/>
      </w:pPr>
    </w:p>
    <w:p w14:paraId="015199F5" w14:textId="77777777" w:rsidR="009374C3" w:rsidRDefault="009374C3">
      <w:pPr>
        <w:pStyle w:val="BodyText"/>
      </w:pPr>
    </w:p>
    <w:p w14:paraId="015199F6" w14:textId="77777777" w:rsidR="009374C3" w:rsidRDefault="009374C3">
      <w:pPr>
        <w:pStyle w:val="BodyText"/>
      </w:pPr>
    </w:p>
    <w:p w14:paraId="015199F7" w14:textId="77777777" w:rsidR="009374C3" w:rsidRDefault="009374C3">
      <w:pPr>
        <w:pStyle w:val="BodyText"/>
      </w:pPr>
    </w:p>
    <w:p w14:paraId="015199F8" w14:textId="77777777" w:rsidR="009374C3" w:rsidRDefault="009374C3">
      <w:pPr>
        <w:pStyle w:val="BodyText"/>
      </w:pPr>
    </w:p>
    <w:p w14:paraId="015199F9" w14:textId="77777777" w:rsidR="009374C3" w:rsidRDefault="009374C3">
      <w:pPr>
        <w:pStyle w:val="BodyText"/>
      </w:pPr>
    </w:p>
    <w:p w14:paraId="015199FA" w14:textId="77777777" w:rsidR="009374C3" w:rsidRDefault="009374C3">
      <w:pPr>
        <w:pStyle w:val="BodyText"/>
      </w:pPr>
    </w:p>
    <w:p w14:paraId="015199FB" w14:textId="77777777" w:rsidR="009374C3" w:rsidRDefault="009374C3">
      <w:pPr>
        <w:pStyle w:val="BodyText"/>
      </w:pPr>
    </w:p>
    <w:p w14:paraId="015199FC" w14:textId="77777777" w:rsidR="009374C3" w:rsidRDefault="009374C3">
      <w:pPr>
        <w:pStyle w:val="BodyText"/>
      </w:pPr>
    </w:p>
    <w:p w14:paraId="015199FD" w14:textId="77777777" w:rsidR="009374C3" w:rsidRDefault="009374C3">
      <w:pPr>
        <w:pStyle w:val="BodyText"/>
        <w:spacing w:before="1"/>
        <w:rPr>
          <w:sz w:val="22"/>
        </w:rPr>
      </w:pPr>
    </w:p>
    <w:p w14:paraId="015199FE" w14:textId="77777777" w:rsidR="009374C3" w:rsidRDefault="00562C4E">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015199FF" w14:textId="77777777" w:rsidR="009374C3" w:rsidRDefault="007E49DB">
      <w:pPr>
        <w:pStyle w:val="BodyText"/>
        <w:rPr>
          <w:sz w:val="14"/>
        </w:rPr>
      </w:pPr>
      <w:r>
        <w:pict w14:anchorId="01519A83">
          <v:shapetype id="_x0000_t202" coordsize="21600,21600" o:spt="202" path="m,l,21600r21600,l21600,xe">
            <v:stroke joinstyle="miter"/>
            <v:path gradientshapeok="t" o:connecttype="rect"/>
          </v:shapetype>
          <v:shape id="_x0000_s2052" type="#_x0000_t202" style="position:absolute;margin-left:76.85pt;margin-top:9.3pt;width:441.5pt;height:32pt;z-index:-15727616;mso-wrap-distance-left:0;mso-wrap-distance-right:0;mso-position-horizontal-relative:page" fillcolor="#dcd8c2" stroked="f">
            <v:textbox inset="0,0,0,0">
              <w:txbxContent>
                <w:p w14:paraId="01519A8D" w14:textId="77777777" w:rsidR="009374C3" w:rsidRDefault="00562C4E">
                  <w:pPr>
                    <w:spacing w:before="1"/>
                    <w:rPr>
                      <w:b/>
                      <w:sz w:val="18"/>
                    </w:rPr>
                  </w:pPr>
                  <w:r>
                    <w:rPr>
                      <w:b/>
                      <w:sz w:val="18"/>
                    </w:rPr>
                    <w:t>Моля, цитирайте този документ като:</w:t>
                  </w:r>
                </w:p>
                <w:p w14:paraId="01519A8E" w14:textId="77777777" w:rsidR="009374C3" w:rsidRDefault="00562C4E">
                  <w:pPr>
                    <w:spacing w:before="8" w:line="242" w:lineRule="auto"/>
                    <w:rPr>
                      <w:sz w:val="18"/>
                    </w:rPr>
                  </w:pPr>
                  <w:r>
                    <w:rPr>
                      <w:sz w:val="18"/>
                    </w:rPr>
                    <w:t xml:space="preserve">ОИСР, </w:t>
                  </w:r>
                  <w:r>
                    <w:rPr>
                      <w:i/>
                      <w:sz w:val="18"/>
                    </w:rPr>
                    <w:t xml:space="preserve">Препоръка на Съвета за намаляване на въздействието върху околната среда от използването на енергия в </w:t>
                  </w:r>
                  <w:r>
                    <w:rPr>
                      <w:i/>
                      <w:iCs/>
                      <w:sz w:val="18"/>
                    </w:rPr>
                    <w:t>битовия и търговския сектор</w:t>
                  </w:r>
                  <w:r>
                    <w:rPr>
                      <w:sz w:val="18"/>
                    </w:rPr>
                    <w:t>, OECD/LEGAL/0157</w:t>
                  </w:r>
                </w:p>
              </w:txbxContent>
            </v:textbox>
            <w10:wrap type="topAndBottom" anchorx="page"/>
          </v:shape>
        </w:pict>
      </w:r>
    </w:p>
    <w:p w14:paraId="01519A00" w14:textId="77777777" w:rsidR="009374C3" w:rsidRDefault="009374C3">
      <w:pPr>
        <w:pStyle w:val="BodyText"/>
        <w:rPr>
          <w:sz w:val="15"/>
        </w:rPr>
      </w:pPr>
    </w:p>
    <w:p w14:paraId="01519A01" w14:textId="77777777" w:rsidR="009374C3" w:rsidRDefault="00562C4E">
      <w:pPr>
        <w:spacing w:before="96"/>
        <w:ind w:left="237"/>
        <w:jc w:val="both"/>
        <w:rPr>
          <w:sz w:val="14"/>
        </w:rPr>
      </w:pPr>
      <w:r>
        <w:rPr>
          <w:sz w:val="14"/>
        </w:rPr>
        <w:t>Серия: Правни инструменти на ОИСР</w:t>
      </w:r>
    </w:p>
    <w:p w14:paraId="01519A02" w14:textId="77777777" w:rsidR="009374C3" w:rsidRDefault="009374C3">
      <w:pPr>
        <w:pStyle w:val="BodyText"/>
        <w:rPr>
          <w:sz w:val="16"/>
        </w:rPr>
      </w:pPr>
    </w:p>
    <w:p w14:paraId="01519A03" w14:textId="77777777" w:rsidR="009374C3" w:rsidRDefault="009374C3">
      <w:pPr>
        <w:pStyle w:val="BodyText"/>
        <w:rPr>
          <w:sz w:val="16"/>
        </w:rPr>
      </w:pPr>
    </w:p>
    <w:p w14:paraId="01519A04" w14:textId="77777777" w:rsidR="009374C3" w:rsidRDefault="009374C3">
      <w:pPr>
        <w:pStyle w:val="BodyText"/>
        <w:spacing w:before="3"/>
        <w:rPr>
          <w:sz w:val="17"/>
        </w:rPr>
      </w:pPr>
    </w:p>
    <w:p w14:paraId="01519A05" w14:textId="77777777" w:rsidR="009374C3" w:rsidRDefault="00562C4E">
      <w:pPr>
        <w:ind w:left="237"/>
        <w:jc w:val="both"/>
        <w:rPr>
          <w:sz w:val="18"/>
        </w:rPr>
      </w:pPr>
      <w:r>
        <w:rPr>
          <w:sz w:val="18"/>
        </w:rPr>
        <w:t>© ОИСР 2021</w:t>
      </w:r>
    </w:p>
    <w:p w14:paraId="01519A06" w14:textId="77777777" w:rsidR="009374C3" w:rsidRDefault="007E49DB">
      <w:pPr>
        <w:pStyle w:val="BodyText"/>
        <w:rPr>
          <w:sz w:val="22"/>
        </w:rPr>
      </w:pPr>
      <w:r>
        <w:pict w14:anchorId="01519A84">
          <v:rect id="_x0000_s2051" style="position:absolute;margin-left:76.85pt;margin-top:14.6pt;width:441.5pt;height:.5pt;z-index:-15727104;mso-wrap-distance-left:0;mso-wrap-distance-right:0;mso-position-horizontal-relative:page" fillcolor="black" stroked="f">
            <w10:wrap type="topAndBottom" anchorx="page"/>
          </v:rect>
        </w:pict>
      </w:r>
    </w:p>
    <w:p w14:paraId="01519A07" w14:textId="77777777" w:rsidR="009374C3" w:rsidRDefault="00562C4E">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01519A08" w14:textId="77777777" w:rsidR="009374C3" w:rsidRDefault="009374C3">
      <w:pPr>
        <w:pStyle w:val="BodyText"/>
        <w:spacing w:before="6"/>
        <w:rPr>
          <w:sz w:val="10"/>
        </w:rPr>
      </w:pPr>
    </w:p>
    <w:p w14:paraId="01519A09" w14:textId="77777777" w:rsidR="009374C3" w:rsidRDefault="007E49DB">
      <w:pPr>
        <w:spacing w:line="252" w:lineRule="auto"/>
        <w:ind w:left="237" w:right="237"/>
        <w:jc w:val="both"/>
        <w:rPr>
          <w:i/>
          <w:sz w:val="12"/>
        </w:rPr>
      </w:pPr>
      <w:r>
        <w:pict w14:anchorId="01519A85">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562C4E">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562C4E">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562C4E">
        <w:t xml:space="preserve"> </w:t>
      </w:r>
      <w:hyperlink r:id="rId13">
        <w:r w:rsidR="00562C4E">
          <w:rPr>
            <w:i/>
            <w:color w:val="0000ED"/>
            <w:sz w:val="12"/>
            <w:u w:val="single" w:color="0000ED"/>
          </w:rPr>
          <w:t>http://legalinstruments.oecd.org</w:t>
        </w:r>
      </w:hyperlink>
      <w:r w:rsidR="00562C4E">
        <w:t xml:space="preserve"> </w:t>
      </w:r>
      <w:r w:rsidR="00562C4E">
        <w:rPr>
          <w:i/>
          <w:sz w:val="12"/>
        </w:rPr>
        <w:t>"</w:t>
      </w:r>
    </w:p>
    <w:p w14:paraId="01519A0A" w14:textId="77777777" w:rsidR="009374C3" w:rsidRDefault="009374C3">
      <w:pPr>
        <w:spacing w:line="252" w:lineRule="auto"/>
        <w:jc w:val="both"/>
        <w:rPr>
          <w:sz w:val="12"/>
        </w:rPr>
        <w:sectPr w:rsidR="009374C3">
          <w:pgSz w:w="11910" w:h="16840"/>
          <w:pgMar w:top="1580" w:right="1299" w:bottom="280" w:left="1300" w:header="720" w:footer="720" w:gutter="0"/>
          <w:cols w:space="720"/>
        </w:sectPr>
      </w:pPr>
    </w:p>
    <w:p w14:paraId="01519A0B" w14:textId="77777777" w:rsidR="009374C3" w:rsidRDefault="00562C4E">
      <w:pPr>
        <w:pStyle w:val="Heading2"/>
        <w:spacing w:before="92"/>
        <w:ind w:left="237"/>
      </w:pPr>
      <w:r>
        <w:rPr>
          <w:color w:val="1E487C"/>
        </w:rPr>
        <w:lastRenderedPageBreak/>
        <w:t>Обща информация</w:t>
      </w:r>
    </w:p>
    <w:p w14:paraId="01519A0C" w14:textId="77777777" w:rsidR="009374C3" w:rsidRDefault="009374C3">
      <w:pPr>
        <w:pStyle w:val="BodyText"/>
        <w:rPr>
          <w:b/>
          <w:sz w:val="26"/>
        </w:rPr>
      </w:pPr>
    </w:p>
    <w:p w14:paraId="01519A0D" w14:textId="77777777" w:rsidR="009374C3" w:rsidRDefault="009374C3">
      <w:pPr>
        <w:pStyle w:val="BodyText"/>
        <w:spacing w:before="3"/>
        <w:rPr>
          <w:b/>
          <w:sz w:val="23"/>
        </w:rPr>
      </w:pPr>
    </w:p>
    <w:p w14:paraId="01519A0E" w14:textId="77777777" w:rsidR="009374C3" w:rsidRDefault="00562C4E">
      <w:pPr>
        <w:pStyle w:val="BodyText"/>
        <w:ind w:left="237" w:right="235"/>
        <w:jc w:val="both"/>
      </w:pPr>
      <w:r>
        <w:t>Препоръката за намаляване на въздействието върху околната среда от използването на енергия в битовия и търговския сектор е приета от Съвета на ОИСР на 21 септември 1977 г. по предложение на Комитета по околна среда (сега наричан Комитет по екологична политика). Препоръката препоръчва управлението на търсенето на енергия да бъде основен елемент от комбинираните политики за енергията и околната среда в битовия и търговския сектор.</w:t>
      </w:r>
    </w:p>
    <w:p w14:paraId="01519A0F" w14:textId="77777777" w:rsidR="009374C3" w:rsidRDefault="009374C3">
      <w:pPr>
        <w:jc w:val="both"/>
        <w:sectPr w:rsidR="009374C3">
          <w:headerReference w:type="even" r:id="rId14"/>
          <w:headerReference w:type="default" r:id="rId15"/>
          <w:pgSz w:w="11910" w:h="16840"/>
          <w:pgMar w:top="1320" w:right="1299" w:bottom="280" w:left="1300" w:header="849" w:footer="0" w:gutter="0"/>
          <w:pgNumType w:start="3"/>
          <w:cols w:space="720"/>
        </w:sectPr>
      </w:pPr>
    </w:p>
    <w:p w14:paraId="01519A10" w14:textId="77777777" w:rsidR="009374C3" w:rsidRDefault="00562C4E">
      <w:pPr>
        <w:pStyle w:val="Heading3"/>
        <w:spacing w:before="82"/>
        <w:ind w:left="116" w:firstLine="0"/>
        <w:jc w:val="both"/>
        <w:rPr>
          <w:b w:val="0"/>
        </w:rPr>
      </w:pPr>
      <w:r>
        <w:lastRenderedPageBreak/>
        <w:t>СЪВЕТЪТ</w:t>
      </w:r>
      <w:r>
        <w:rPr>
          <w:b w:val="0"/>
        </w:rPr>
        <w:t>,</w:t>
      </w:r>
    </w:p>
    <w:p w14:paraId="01519A11" w14:textId="77777777" w:rsidR="009374C3" w:rsidRDefault="009374C3">
      <w:pPr>
        <w:pStyle w:val="BodyText"/>
        <w:rPr>
          <w:sz w:val="21"/>
        </w:rPr>
      </w:pPr>
    </w:p>
    <w:p w14:paraId="01519A12" w14:textId="77777777" w:rsidR="009374C3" w:rsidRDefault="00562C4E">
      <w:pPr>
        <w:pStyle w:val="BodyText"/>
        <w:spacing w:line="242" w:lineRule="auto"/>
        <w:ind w:left="116" w:right="114"/>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01519A13" w14:textId="77777777" w:rsidR="009374C3" w:rsidRDefault="009374C3">
      <w:pPr>
        <w:pStyle w:val="BodyText"/>
        <w:spacing w:before="6"/>
      </w:pPr>
    </w:p>
    <w:p w14:paraId="01519A14" w14:textId="77777777" w:rsidR="009374C3" w:rsidRDefault="00562C4E">
      <w:pPr>
        <w:pStyle w:val="BodyText"/>
        <w:spacing w:line="242" w:lineRule="auto"/>
        <w:ind w:left="116" w:right="116"/>
        <w:jc w:val="both"/>
      </w:pPr>
      <w:r>
        <w:rPr>
          <w:b/>
        </w:rPr>
        <w:t>КАТО ВЗЕ ПРЕДВИД</w:t>
      </w:r>
      <w:r>
        <w:t xml:space="preserve"> Препоръката на Съвета от 14 ноември 1974 г. относно енергията и околната среда [C(74)222)];</w:t>
      </w:r>
    </w:p>
    <w:p w14:paraId="01519A15" w14:textId="77777777" w:rsidR="009374C3" w:rsidRDefault="009374C3">
      <w:pPr>
        <w:pStyle w:val="BodyText"/>
        <w:spacing w:before="4"/>
      </w:pPr>
    </w:p>
    <w:p w14:paraId="01519A16" w14:textId="77777777" w:rsidR="009374C3" w:rsidRDefault="00562C4E">
      <w:pPr>
        <w:pStyle w:val="BodyText"/>
        <w:spacing w:line="242" w:lineRule="auto"/>
        <w:ind w:left="116" w:right="113"/>
        <w:jc w:val="both"/>
      </w:pPr>
      <w:r>
        <w:rPr>
          <w:b/>
        </w:rPr>
        <w:t xml:space="preserve">КАТО ВЗЕ ПРЕДВИД </w:t>
      </w:r>
      <w:r>
        <w:t>предложенията на генералния секретар за последващи действия във връзка с дългосрочната енергийна оценка [C(74)259];</w:t>
      </w:r>
    </w:p>
    <w:p w14:paraId="01519A17" w14:textId="77777777" w:rsidR="009374C3" w:rsidRDefault="009374C3">
      <w:pPr>
        <w:pStyle w:val="BodyText"/>
        <w:spacing w:before="6"/>
      </w:pPr>
    </w:p>
    <w:p w14:paraId="01519A18" w14:textId="77777777" w:rsidR="009374C3" w:rsidRDefault="00562C4E">
      <w:pPr>
        <w:pStyle w:val="BodyText"/>
        <w:spacing w:line="242" w:lineRule="auto"/>
        <w:ind w:left="116" w:right="118"/>
        <w:jc w:val="both"/>
      </w:pPr>
      <w:r>
        <w:rPr>
          <w:b/>
        </w:rPr>
        <w:t>КАТО ВЗЕ ПРЕДВИД</w:t>
      </w:r>
      <w:r>
        <w:t xml:space="preserve"> Препоръката на Съвета от 18 юни 1974 г. относно Насоки за действие за намаляване на емисиите на серни оксиди и прахови частици от изгаряне на гориво в стационарни източници [C(74)16(Final)];</w:t>
      </w:r>
    </w:p>
    <w:p w14:paraId="01519A19" w14:textId="77777777" w:rsidR="009374C3" w:rsidRDefault="009374C3">
      <w:pPr>
        <w:pStyle w:val="BodyText"/>
        <w:spacing w:before="2"/>
      </w:pPr>
    </w:p>
    <w:p w14:paraId="01519A1A" w14:textId="77777777" w:rsidR="009374C3" w:rsidRDefault="00562C4E">
      <w:pPr>
        <w:pStyle w:val="BodyText"/>
        <w:spacing w:line="242" w:lineRule="auto"/>
        <w:ind w:left="116" w:right="118"/>
        <w:jc w:val="both"/>
      </w:pPr>
      <w:r>
        <w:rPr>
          <w:b/>
        </w:rPr>
        <w:t>КАТО ВЗЕ ПРЕДВИД</w:t>
      </w:r>
      <w:r>
        <w:t xml:space="preserve"> Препоръката на Съвета от 14 ноември 1974 г. относно мерките, необходими за по-нататъшен контрол на замърсяването на въздуха [C(74)212];</w:t>
      </w:r>
    </w:p>
    <w:p w14:paraId="01519A1B" w14:textId="77777777" w:rsidR="009374C3" w:rsidRDefault="009374C3">
      <w:pPr>
        <w:pStyle w:val="BodyText"/>
        <w:spacing w:before="7"/>
      </w:pPr>
    </w:p>
    <w:p w14:paraId="01519A1C" w14:textId="77777777" w:rsidR="009374C3" w:rsidRDefault="00562C4E">
      <w:pPr>
        <w:pStyle w:val="BodyText"/>
        <w:spacing w:line="242" w:lineRule="auto"/>
        <w:ind w:left="116" w:right="118"/>
        <w:jc w:val="both"/>
      </w:pPr>
      <w:r>
        <w:rPr>
          <w:b/>
        </w:rPr>
        <w:t>КАТО ВЗЕ ПРЕДВИД</w:t>
      </w:r>
      <w:r>
        <w:t xml:space="preserve"> Препоръката на Съвета от 12 октомври 1976 г. относно намаляването на въздействието върху околната среда от производството и използването на енергия [C(76)162(Final)];</w:t>
      </w:r>
    </w:p>
    <w:p w14:paraId="01519A1D" w14:textId="77777777" w:rsidR="009374C3" w:rsidRDefault="009374C3">
      <w:pPr>
        <w:pStyle w:val="BodyText"/>
        <w:spacing w:before="6"/>
      </w:pPr>
    </w:p>
    <w:p w14:paraId="01519A1E" w14:textId="77777777" w:rsidR="009374C3" w:rsidRDefault="00562C4E">
      <w:pPr>
        <w:pStyle w:val="BodyText"/>
        <w:spacing w:line="242" w:lineRule="auto"/>
        <w:ind w:left="116" w:right="123"/>
        <w:jc w:val="both"/>
      </w:pPr>
      <w:r>
        <w:rPr>
          <w:b/>
        </w:rPr>
        <w:t>КАТО ВЗЕ ПРЕДВИД</w:t>
      </w:r>
      <w:r>
        <w:t xml:space="preserve"> заключенията на Доклада относно въздействието върху околната среда от използването на енергия в битовия и търговски сектор [ENV(77)12];</w:t>
      </w:r>
    </w:p>
    <w:p w14:paraId="01519A1F" w14:textId="77777777" w:rsidR="009374C3" w:rsidRDefault="009374C3">
      <w:pPr>
        <w:pStyle w:val="BodyText"/>
        <w:spacing w:before="4"/>
      </w:pPr>
    </w:p>
    <w:p w14:paraId="01519A20" w14:textId="77777777" w:rsidR="009374C3" w:rsidRDefault="00562C4E">
      <w:pPr>
        <w:pStyle w:val="BodyText"/>
        <w:spacing w:line="242" w:lineRule="auto"/>
        <w:ind w:left="116" w:right="122"/>
        <w:jc w:val="both"/>
      </w:pPr>
      <w:r>
        <w:rPr>
          <w:b/>
        </w:rPr>
        <w:t>КАТО ПРИЗНА</w:t>
      </w:r>
      <w:r>
        <w:t>, че продуктите на горенето, произведени при осигуряване на енергия за битовия и търговския сектор, съдържат вредни вещества, като серен диоксид, азотни оксиди и прахови частици, които представляват опасност за здравето в определени концентрации;</w:t>
      </w:r>
    </w:p>
    <w:p w14:paraId="01519A21" w14:textId="77777777" w:rsidR="009374C3" w:rsidRDefault="009374C3">
      <w:pPr>
        <w:pStyle w:val="BodyText"/>
        <w:spacing w:before="4"/>
      </w:pPr>
    </w:p>
    <w:p w14:paraId="01519A22" w14:textId="77777777" w:rsidR="009374C3" w:rsidRDefault="00562C4E">
      <w:pPr>
        <w:pStyle w:val="BodyText"/>
        <w:spacing w:line="242" w:lineRule="auto"/>
        <w:ind w:left="116" w:right="117"/>
        <w:jc w:val="both"/>
      </w:pPr>
      <w:r>
        <w:rPr>
          <w:b/>
        </w:rPr>
        <w:t>КАТО ПРИЗНА,</w:t>
      </w:r>
      <w:r>
        <w:t xml:space="preserve"> че увеличаването на потреблението на енергия в битовия и търговския сектор допринася значително за общото потребление на енергия и че има необходимост от политически действия за намаляване на неблагоприятните въздействия върху околната среда от производството и използването на енергия в райони с висока гъстота на населението;</w:t>
      </w:r>
    </w:p>
    <w:p w14:paraId="01519A23" w14:textId="77777777" w:rsidR="009374C3" w:rsidRDefault="009374C3">
      <w:pPr>
        <w:pStyle w:val="BodyText"/>
        <w:spacing w:before="3"/>
      </w:pPr>
    </w:p>
    <w:p w14:paraId="01519A24" w14:textId="77777777" w:rsidR="009374C3" w:rsidRDefault="00562C4E">
      <w:pPr>
        <w:pStyle w:val="BodyText"/>
        <w:spacing w:line="242" w:lineRule="auto"/>
        <w:ind w:left="116" w:right="122"/>
        <w:jc w:val="both"/>
      </w:pPr>
      <w:r>
        <w:rPr>
          <w:b/>
        </w:rPr>
        <w:t>КАТО ПРИЗНА,</w:t>
      </w:r>
      <w:r>
        <w:t xml:space="preserve"> че решенията на енергийната политика трябва да постигнат баланс между всички съответни елементи, като икономика, сигурност на доставките и екологични съображения;</w:t>
      </w:r>
    </w:p>
    <w:p w14:paraId="01519A25" w14:textId="77777777" w:rsidR="009374C3" w:rsidRDefault="009374C3">
      <w:pPr>
        <w:pStyle w:val="BodyText"/>
        <w:spacing w:before="6"/>
      </w:pPr>
    </w:p>
    <w:p w14:paraId="01519A26" w14:textId="77777777" w:rsidR="009374C3" w:rsidRDefault="00562C4E">
      <w:pPr>
        <w:pStyle w:val="Heading3"/>
        <w:spacing w:line="491" w:lineRule="auto"/>
        <w:ind w:left="116" w:right="4607" w:firstLine="0"/>
        <w:rPr>
          <w:b w:val="0"/>
        </w:rPr>
      </w:pPr>
      <w:r>
        <w:t>По предложение на Комитета по околната среда; ПРЕПОРЪЧВА:</w:t>
      </w:r>
    </w:p>
    <w:p w14:paraId="01519A27" w14:textId="77777777" w:rsidR="009374C3" w:rsidRDefault="00562C4E">
      <w:pPr>
        <w:pStyle w:val="ListParagraph"/>
        <w:numPr>
          <w:ilvl w:val="0"/>
          <w:numId w:val="3"/>
        </w:numPr>
        <w:tabs>
          <w:tab w:val="left" w:pos="965"/>
          <w:tab w:val="left" w:pos="966"/>
        </w:tabs>
        <w:ind w:right="117" w:firstLine="0"/>
        <w:jc w:val="both"/>
        <w:rPr>
          <w:sz w:val="20"/>
        </w:rPr>
      </w:pPr>
      <w:r>
        <w:rPr>
          <w:sz w:val="20"/>
        </w:rPr>
        <w:t>Управлението на търсенето на енергия да бъде основен елемент от комбинираните политики за околната среда и енергията в битовия и търговския сектор и тези политики да бъдат координирани и взаимно подсилващи се както при осигуряването на защита на градската среда, така и при запазването на енергията; взаимността на тези политики да бъде призната публично в политическите изявления.</w:t>
      </w:r>
    </w:p>
    <w:p w14:paraId="01519A28" w14:textId="77777777" w:rsidR="009374C3" w:rsidRDefault="009374C3">
      <w:pPr>
        <w:pStyle w:val="BodyText"/>
        <w:spacing w:before="10"/>
      </w:pPr>
    </w:p>
    <w:p w14:paraId="01519A29" w14:textId="77777777" w:rsidR="009374C3" w:rsidRDefault="00562C4E">
      <w:pPr>
        <w:pStyle w:val="ListParagraph"/>
        <w:numPr>
          <w:ilvl w:val="0"/>
          <w:numId w:val="3"/>
        </w:numPr>
        <w:tabs>
          <w:tab w:val="left" w:pos="965"/>
          <w:tab w:val="left" w:pos="966"/>
        </w:tabs>
        <w:ind w:right="124" w:firstLine="0"/>
        <w:jc w:val="both"/>
        <w:rPr>
          <w:sz w:val="20"/>
        </w:rPr>
      </w:pPr>
      <w:r>
        <w:rPr>
          <w:sz w:val="20"/>
        </w:rPr>
        <w:t>Предпочитание да се дава на енергийни политики в битовия и търговския сектор, насочени към темпове на растеж и състав на потреблението на енергия, които са съвместими с екологичните цели и следователно биха били по-малко вредни за околната среда.</w:t>
      </w:r>
    </w:p>
    <w:p w14:paraId="01519A2A" w14:textId="77777777" w:rsidR="009374C3" w:rsidRDefault="009374C3">
      <w:pPr>
        <w:pStyle w:val="BodyText"/>
        <w:spacing w:before="9"/>
      </w:pPr>
    </w:p>
    <w:p w14:paraId="01519A2B" w14:textId="77777777" w:rsidR="009374C3" w:rsidRDefault="00562C4E">
      <w:pPr>
        <w:pStyle w:val="ListParagraph"/>
        <w:numPr>
          <w:ilvl w:val="0"/>
          <w:numId w:val="3"/>
        </w:numPr>
        <w:tabs>
          <w:tab w:val="left" w:pos="968"/>
          <w:tab w:val="left" w:pos="969"/>
        </w:tabs>
        <w:ind w:right="125" w:firstLine="0"/>
        <w:jc w:val="both"/>
        <w:rPr>
          <w:sz w:val="20"/>
        </w:rPr>
      </w:pPr>
      <w:r>
        <w:rPr>
          <w:sz w:val="20"/>
        </w:rPr>
        <w:t>Да бъдат избирани ефективни мерки за пестене на енергия, които осигуряват специфични ползи за околната среда, като се вземат предвид икономическите и социалните разходи, и да се дава приоритет за битовия и търговския сектор.</w:t>
      </w:r>
    </w:p>
    <w:p w14:paraId="01519A2C" w14:textId="77777777" w:rsidR="009374C3" w:rsidRDefault="009374C3">
      <w:pPr>
        <w:pStyle w:val="BodyText"/>
        <w:rPr>
          <w:sz w:val="21"/>
        </w:rPr>
      </w:pPr>
    </w:p>
    <w:p w14:paraId="01519A2D" w14:textId="77777777" w:rsidR="009374C3" w:rsidRDefault="00562C4E">
      <w:pPr>
        <w:pStyle w:val="ListParagraph"/>
        <w:numPr>
          <w:ilvl w:val="0"/>
          <w:numId w:val="3"/>
        </w:numPr>
        <w:tabs>
          <w:tab w:val="left" w:pos="825"/>
        </w:tabs>
        <w:ind w:right="125" w:firstLine="0"/>
        <w:jc w:val="both"/>
        <w:rPr>
          <w:sz w:val="20"/>
        </w:rPr>
      </w:pPr>
      <w:r>
        <w:rPr>
          <w:sz w:val="20"/>
        </w:rPr>
        <w:t>Системата за разпределение на енергия и използването на чисти горива в райони с висока гъстота на градското население да се подобряват постепенно, за да отговарят на екологичните изисквания.</w:t>
      </w:r>
    </w:p>
    <w:p w14:paraId="01519A2E" w14:textId="77777777" w:rsidR="009374C3" w:rsidRDefault="009374C3">
      <w:pPr>
        <w:pStyle w:val="BodyText"/>
        <w:spacing w:before="11"/>
      </w:pPr>
    </w:p>
    <w:p w14:paraId="01519A2F" w14:textId="77777777" w:rsidR="009374C3" w:rsidRDefault="00562C4E">
      <w:pPr>
        <w:pStyle w:val="ListParagraph"/>
        <w:numPr>
          <w:ilvl w:val="0"/>
          <w:numId w:val="3"/>
        </w:numPr>
        <w:tabs>
          <w:tab w:val="left" w:pos="825"/>
        </w:tabs>
        <w:ind w:right="124" w:firstLine="0"/>
        <w:jc w:val="both"/>
        <w:rPr>
          <w:sz w:val="20"/>
        </w:rPr>
      </w:pPr>
      <w:r>
        <w:rPr>
          <w:sz w:val="20"/>
        </w:rPr>
        <w:t>Планирането на земеползването в градските райони официално да включва оценка на желателни за околната среда енергийни системи, като например централно отопление, и на градски проекти, които могат да доведат до намаляване на въздействието върху околната среда от използването на енергия.</w:t>
      </w:r>
    </w:p>
    <w:p w14:paraId="01519A30" w14:textId="77777777" w:rsidR="009374C3" w:rsidRDefault="009374C3">
      <w:pPr>
        <w:jc w:val="both"/>
        <w:rPr>
          <w:sz w:val="20"/>
        </w:rPr>
        <w:sectPr w:rsidR="009374C3">
          <w:pgSz w:w="11910" w:h="16840"/>
          <w:pgMar w:top="1320" w:right="1300" w:bottom="280" w:left="1300" w:header="849" w:footer="0" w:gutter="0"/>
          <w:cols w:space="720"/>
        </w:sectPr>
      </w:pPr>
    </w:p>
    <w:p w14:paraId="01519A31" w14:textId="77777777" w:rsidR="009374C3" w:rsidRDefault="00562C4E">
      <w:pPr>
        <w:pStyle w:val="ListParagraph"/>
        <w:numPr>
          <w:ilvl w:val="0"/>
          <w:numId w:val="3"/>
        </w:numPr>
        <w:tabs>
          <w:tab w:val="left" w:pos="825"/>
        </w:tabs>
        <w:spacing w:before="85"/>
        <w:ind w:right="129" w:firstLine="0"/>
        <w:jc w:val="both"/>
        <w:rPr>
          <w:sz w:val="20"/>
        </w:rPr>
      </w:pPr>
      <w:r>
        <w:rPr>
          <w:sz w:val="20"/>
        </w:rPr>
        <w:lastRenderedPageBreak/>
        <w:t>Да се изпълняват програми за обществена информация, които подчертават ползите за околната среда от енергоспестяването в битовия и търговския сектор.</w:t>
      </w:r>
    </w:p>
    <w:p w14:paraId="01519A32" w14:textId="77777777" w:rsidR="009374C3" w:rsidRDefault="009374C3">
      <w:pPr>
        <w:pStyle w:val="BodyText"/>
        <w:spacing w:before="11"/>
      </w:pPr>
    </w:p>
    <w:p w14:paraId="01519A33" w14:textId="77777777" w:rsidR="009374C3" w:rsidRDefault="00562C4E">
      <w:pPr>
        <w:pStyle w:val="ListParagraph"/>
        <w:numPr>
          <w:ilvl w:val="0"/>
          <w:numId w:val="3"/>
        </w:numPr>
        <w:tabs>
          <w:tab w:val="left" w:pos="825"/>
        </w:tabs>
        <w:ind w:right="114" w:firstLine="0"/>
        <w:jc w:val="both"/>
        <w:rPr>
          <w:sz w:val="20"/>
        </w:rPr>
      </w:pPr>
      <w:r>
        <w:rPr>
          <w:sz w:val="20"/>
        </w:rPr>
        <w:t>За да се гарантира, че мерките, посочени в параграфи 3, 4, 5 и 6 по-горе, се прилагат по такъв начин, че да се получат пълни ползи за околната среда, следва да се извършат оценки на въздействието върху околната среда от използването на енергия в ясно дефинирани големи градски региони преди и след прилагането на горепосочените мерки в тези области.</w:t>
      </w:r>
    </w:p>
    <w:p w14:paraId="01519A34" w14:textId="77777777" w:rsidR="009374C3" w:rsidRDefault="009374C3">
      <w:pPr>
        <w:pStyle w:val="BodyText"/>
        <w:spacing w:before="9"/>
      </w:pPr>
    </w:p>
    <w:p w14:paraId="01519A35" w14:textId="77777777" w:rsidR="009374C3" w:rsidRDefault="00562C4E">
      <w:pPr>
        <w:pStyle w:val="ListParagraph"/>
        <w:numPr>
          <w:ilvl w:val="0"/>
          <w:numId w:val="3"/>
        </w:numPr>
        <w:tabs>
          <w:tab w:val="left" w:pos="825"/>
        </w:tabs>
        <w:ind w:right="126" w:firstLine="0"/>
        <w:jc w:val="both"/>
        <w:rPr>
          <w:sz w:val="20"/>
        </w:rPr>
      </w:pPr>
      <w:r>
        <w:rPr>
          <w:sz w:val="20"/>
        </w:rPr>
        <w:t>При прилагането на тези препоръки да се вземат предвид приложените заключения.</w:t>
      </w:r>
    </w:p>
    <w:p w14:paraId="01519A36" w14:textId="77777777" w:rsidR="009374C3" w:rsidRDefault="009374C3">
      <w:pPr>
        <w:jc w:val="both"/>
        <w:rPr>
          <w:sz w:val="20"/>
        </w:rPr>
        <w:sectPr w:rsidR="009374C3">
          <w:pgSz w:w="11910" w:h="16840"/>
          <w:pgMar w:top="1320" w:right="1300" w:bottom="280" w:left="1300" w:header="849" w:footer="0" w:gutter="0"/>
          <w:cols w:space="720"/>
        </w:sectPr>
      </w:pPr>
    </w:p>
    <w:p w14:paraId="01519A37" w14:textId="77777777" w:rsidR="009374C3" w:rsidRDefault="00562C4E">
      <w:pPr>
        <w:spacing w:before="83"/>
        <w:ind w:left="474" w:right="476"/>
        <w:jc w:val="center"/>
        <w:rPr>
          <w:sz w:val="24"/>
        </w:rPr>
      </w:pPr>
      <w:r>
        <w:rPr>
          <w:sz w:val="24"/>
        </w:rPr>
        <w:lastRenderedPageBreak/>
        <w:t>ПРИЛОЖЕНИЕ</w:t>
      </w:r>
    </w:p>
    <w:p w14:paraId="01519A38" w14:textId="77777777" w:rsidR="009374C3" w:rsidRDefault="00562C4E">
      <w:pPr>
        <w:pStyle w:val="Heading3"/>
        <w:spacing w:before="185"/>
        <w:ind w:left="474" w:right="480" w:firstLine="0"/>
        <w:jc w:val="center"/>
      </w:pPr>
      <w:r>
        <w:t>ОБЩИ ЗАКЛЮЧЕНИЯ В РЕЗУЛТАТ ОТ ИЗСЛЕДВАНЕТО НА ВЪЗДЕЙСТВИЕТО ВЪРХУ ОКОЛНАТА СРЕДА ОТ ПОТРЕБЛЕНИЕТО НА ЕНЕРГИЯ В БИТОВИЯ И ТЪРГОВСКИЯ СЕКТОР</w:t>
      </w:r>
    </w:p>
    <w:p w14:paraId="01519A39" w14:textId="77777777" w:rsidR="009374C3" w:rsidRDefault="009374C3">
      <w:pPr>
        <w:pStyle w:val="BodyText"/>
        <w:spacing w:before="10"/>
        <w:rPr>
          <w:b/>
        </w:rPr>
      </w:pPr>
    </w:p>
    <w:p w14:paraId="01519A3A" w14:textId="77777777" w:rsidR="009374C3" w:rsidRDefault="00562C4E">
      <w:pPr>
        <w:pStyle w:val="ListParagraph"/>
        <w:numPr>
          <w:ilvl w:val="0"/>
          <w:numId w:val="2"/>
        </w:numPr>
        <w:tabs>
          <w:tab w:val="left" w:pos="836"/>
          <w:tab w:val="left" w:pos="837"/>
        </w:tabs>
        <w:spacing w:before="1"/>
        <w:ind w:hanging="721"/>
        <w:jc w:val="both"/>
        <w:rPr>
          <w:b/>
          <w:sz w:val="20"/>
        </w:rPr>
      </w:pPr>
      <w:r>
        <w:rPr>
          <w:b/>
          <w:sz w:val="20"/>
        </w:rPr>
        <w:t>Съвместимост на управлението на потреблението на енергия с екологични цели</w:t>
      </w:r>
    </w:p>
    <w:p w14:paraId="01519A3B" w14:textId="77777777" w:rsidR="009374C3" w:rsidRDefault="009374C3">
      <w:pPr>
        <w:pStyle w:val="BodyText"/>
        <w:spacing w:before="10"/>
        <w:rPr>
          <w:b/>
        </w:rPr>
      </w:pPr>
    </w:p>
    <w:p w14:paraId="01519A3C" w14:textId="77777777" w:rsidR="009374C3" w:rsidRDefault="00562C4E">
      <w:pPr>
        <w:pStyle w:val="ListParagraph"/>
        <w:numPr>
          <w:ilvl w:val="1"/>
          <w:numId w:val="2"/>
        </w:numPr>
        <w:tabs>
          <w:tab w:val="left" w:pos="837"/>
        </w:tabs>
        <w:ind w:right="127" w:firstLine="0"/>
        <w:jc w:val="both"/>
        <w:rPr>
          <w:sz w:val="20"/>
        </w:rPr>
      </w:pPr>
      <w:r>
        <w:rPr>
          <w:sz w:val="20"/>
        </w:rPr>
        <w:t>Когато ползите за околната среда са резултат от политиките за опазване, тези ползи трябва да бъдат подчертани в подкрепа на тези политики.</w:t>
      </w:r>
    </w:p>
    <w:p w14:paraId="01519A3D" w14:textId="77777777" w:rsidR="009374C3" w:rsidRDefault="009374C3">
      <w:pPr>
        <w:pStyle w:val="BodyText"/>
        <w:spacing w:before="11"/>
      </w:pPr>
    </w:p>
    <w:p w14:paraId="01519A3E" w14:textId="77777777" w:rsidR="009374C3" w:rsidRDefault="00562C4E">
      <w:pPr>
        <w:pStyle w:val="ListParagraph"/>
        <w:numPr>
          <w:ilvl w:val="1"/>
          <w:numId w:val="2"/>
        </w:numPr>
        <w:tabs>
          <w:tab w:val="left" w:pos="837"/>
        </w:tabs>
        <w:ind w:right="119" w:firstLine="0"/>
        <w:jc w:val="both"/>
        <w:rPr>
          <w:sz w:val="20"/>
        </w:rPr>
      </w:pPr>
      <w:r>
        <w:rPr>
          <w:sz w:val="20"/>
        </w:rPr>
        <w:t>От екологична гледна точка е желателно ниско замърсяващите енергийни източници да отговарят на енергийните нужди на райони с висока гъстота на населението и ниско усвояване на околната среда. Поради това политиките за енергийно снабдяване трябва да отделят достатъчно внимание на местните екологични нужди.</w:t>
      </w:r>
    </w:p>
    <w:p w14:paraId="01519A3F" w14:textId="77777777" w:rsidR="009374C3" w:rsidRDefault="009374C3">
      <w:pPr>
        <w:pStyle w:val="BodyText"/>
        <w:spacing w:before="9"/>
      </w:pPr>
    </w:p>
    <w:p w14:paraId="01519A40" w14:textId="77777777" w:rsidR="009374C3" w:rsidRDefault="00562C4E">
      <w:pPr>
        <w:pStyle w:val="ListParagraph"/>
        <w:numPr>
          <w:ilvl w:val="1"/>
          <w:numId w:val="2"/>
        </w:numPr>
        <w:tabs>
          <w:tab w:val="left" w:pos="837"/>
        </w:tabs>
        <w:ind w:right="122" w:firstLine="0"/>
        <w:jc w:val="both"/>
        <w:rPr>
          <w:sz w:val="20"/>
        </w:rPr>
      </w:pPr>
      <w:r>
        <w:rPr>
          <w:sz w:val="20"/>
        </w:rPr>
        <w:t>Това ще подпомогне планирането на околната среда, ако целите на политиката за намаляване на потреблението на енергия са изразени количествено.</w:t>
      </w:r>
    </w:p>
    <w:p w14:paraId="01519A41" w14:textId="77777777" w:rsidR="009374C3" w:rsidRDefault="009374C3">
      <w:pPr>
        <w:pStyle w:val="BodyText"/>
        <w:spacing w:before="11"/>
      </w:pPr>
    </w:p>
    <w:p w14:paraId="01519A42" w14:textId="77777777" w:rsidR="009374C3" w:rsidRDefault="00562C4E">
      <w:pPr>
        <w:pStyle w:val="ListParagraph"/>
        <w:numPr>
          <w:ilvl w:val="1"/>
          <w:numId w:val="2"/>
        </w:numPr>
        <w:tabs>
          <w:tab w:val="left" w:pos="837"/>
        </w:tabs>
        <w:ind w:right="118" w:firstLine="0"/>
        <w:jc w:val="both"/>
        <w:rPr>
          <w:sz w:val="20"/>
        </w:rPr>
      </w:pPr>
      <w:r>
        <w:rPr>
          <w:sz w:val="20"/>
        </w:rPr>
        <w:t>Формулирането и прилагането на политиката ще бъдат значително улеснени, ако данните за използването на енергия и свързаните с това въздействия върху околната среда се събират в международно договорен формат на национална и регионална база за всяка страна.</w:t>
      </w:r>
    </w:p>
    <w:p w14:paraId="01519A43" w14:textId="77777777" w:rsidR="009374C3" w:rsidRDefault="009374C3">
      <w:pPr>
        <w:pStyle w:val="BodyText"/>
        <w:rPr>
          <w:sz w:val="21"/>
        </w:rPr>
      </w:pPr>
    </w:p>
    <w:p w14:paraId="01519A44" w14:textId="77777777" w:rsidR="009374C3" w:rsidRDefault="00562C4E">
      <w:pPr>
        <w:pStyle w:val="ListParagraph"/>
        <w:numPr>
          <w:ilvl w:val="1"/>
          <w:numId w:val="2"/>
        </w:numPr>
        <w:tabs>
          <w:tab w:val="left" w:pos="837"/>
        </w:tabs>
        <w:ind w:right="127" w:firstLine="0"/>
        <w:jc w:val="both"/>
        <w:rPr>
          <w:sz w:val="20"/>
        </w:rPr>
      </w:pPr>
      <w:r>
        <w:rPr>
          <w:sz w:val="20"/>
        </w:rPr>
        <w:t>Националните и регионалните енергийни цели трябва да се вземат предвид заедно с по-широките екологични и социални цели при планирането на земеползването. Планирането на всички аспекти на градското развитие трябва да отчита както факторите на околната среда, така и необходимостта да се избягва разточителното използване на енергия.</w:t>
      </w:r>
    </w:p>
    <w:p w14:paraId="01519A45" w14:textId="77777777" w:rsidR="009374C3" w:rsidRDefault="009374C3">
      <w:pPr>
        <w:pStyle w:val="BodyText"/>
        <w:spacing w:before="9"/>
      </w:pPr>
    </w:p>
    <w:p w14:paraId="01519A46" w14:textId="77777777" w:rsidR="009374C3" w:rsidRDefault="00562C4E">
      <w:pPr>
        <w:pStyle w:val="ListParagraph"/>
        <w:numPr>
          <w:ilvl w:val="1"/>
          <w:numId w:val="2"/>
        </w:numPr>
        <w:tabs>
          <w:tab w:val="left" w:pos="837"/>
        </w:tabs>
        <w:ind w:right="115" w:firstLine="0"/>
        <w:jc w:val="both"/>
        <w:rPr>
          <w:sz w:val="20"/>
        </w:rPr>
      </w:pPr>
      <w:r>
        <w:rPr>
          <w:sz w:val="20"/>
        </w:rPr>
        <w:t>Необходими са усилия за изследвания и разработки в областта на енергетиката, за да се развие екологосъобразно използване на изобилни енергийни източници и да се намали консумацията на енергия, заедно с технологични подобрения в енергийните уреди. Основен фокус на изследванията трябва да бъде прогнозирането на социалните, икономическите, енергийните и екологичните последици от мерките за опазване и доставка на енергия, за да се даде възможност за просветен избор между алтернативите.</w:t>
      </w:r>
    </w:p>
    <w:p w14:paraId="01519A47" w14:textId="77777777" w:rsidR="009374C3" w:rsidRDefault="009374C3">
      <w:pPr>
        <w:pStyle w:val="BodyText"/>
        <w:spacing w:before="10"/>
      </w:pPr>
    </w:p>
    <w:p w14:paraId="01519A48" w14:textId="77777777" w:rsidR="009374C3" w:rsidRDefault="00562C4E">
      <w:pPr>
        <w:pStyle w:val="ListParagraph"/>
        <w:numPr>
          <w:ilvl w:val="1"/>
          <w:numId w:val="2"/>
        </w:numPr>
        <w:tabs>
          <w:tab w:val="left" w:pos="837"/>
        </w:tabs>
        <w:ind w:right="124" w:firstLine="0"/>
        <w:jc w:val="both"/>
        <w:rPr>
          <w:sz w:val="20"/>
        </w:rPr>
      </w:pPr>
      <w:r>
        <w:rPr>
          <w:sz w:val="20"/>
        </w:rPr>
        <w:t>Когато намаляването на темпото на растеж на потреблението на енергия изисква инвестиции за спестяване на енергия, тогава изчисляването на общите ползи и разходи трябва да включва и произтичащите промени в околната среда.</w:t>
      </w:r>
    </w:p>
    <w:p w14:paraId="01519A49" w14:textId="77777777" w:rsidR="009374C3" w:rsidRDefault="009374C3">
      <w:pPr>
        <w:pStyle w:val="BodyText"/>
        <w:spacing w:before="9"/>
      </w:pPr>
    </w:p>
    <w:p w14:paraId="01519A4A" w14:textId="77777777" w:rsidR="009374C3" w:rsidRDefault="00562C4E">
      <w:pPr>
        <w:pStyle w:val="Heading3"/>
        <w:numPr>
          <w:ilvl w:val="0"/>
          <w:numId w:val="2"/>
        </w:numPr>
        <w:tabs>
          <w:tab w:val="left" w:pos="837"/>
        </w:tabs>
        <w:ind w:hanging="721"/>
        <w:jc w:val="both"/>
      </w:pPr>
      <w:r>
        <w:t>Ценообразуване</w:t>
      </w:r>
    </w:p>
    <w:p w14:paraId="01519A4B" w14:textId="77777777" w:rsidR="009374C3" w:rsidRDefault="009374C3">
      <w:pPr>
        <w:pStyle w:val="BodyText"/>
        <w:spacing w:before="10"/>
        <w:rPr>
          <w:b/>
        </w:rPr>
      </w:pPr>
    </w:p>
    <w:p w14:paraId="01519A4C" w14:textId="77777777" w:rsidR="009374C3" w:rsidRDefault="00562C4E">
      <w:pPr>
        <w:pStyle w:val="ListParagraph"/>
        <w:numPr>
          <w:ilvl w:val="1"/>
          <w:numId w:val="2"/>
        </w:numPr>
        <w:tabs>
          <w:tab w:val="left" w:pos="837"/>
        </w:tabs>
        <w:spacing w:before="1"/>
        <w:ind w:right="116" w:firstLine="0"/>
        <w:jc w:val="both"/>
        <w:rPr>
          <w:sz w:val="20"/>
        </w:rPr>
      </w:pPr>
      <w:r>
        <w:rPr>
          <w:sz w:val="20"/>
        </w:rPr>
        <w:t xml:space="preserve">От гледна точка на околната среда е желателно да се гарантира, доколкото е възможно, че цените на енергията отчитат цялата социална цена, </w:t>
      </w:r>
      <w:r>
        <w:rPr>
          <w:i/>
          <w:sz w:val="20"/>
        </w:rPr>
        <w:t>inter alia</w:t>
      </w:r>
      <w:r>
        <w:rPr>
          <w:sz w:val="20"/>
        </w:rPr>
        <w:t xml:space="preserve"> екологичните разходи, от използването на енергия. За тази цел политиките за ценообразуване на енергията, включително мерките за енергийно облагане, трябва да вземат предвид различните екологични разходи, свързани с производството и транспортирането на енергия, както и други фактори като благосъстоянието на потребителите.</w:t>
      </w:r>
    </w:p>
    <w:p w14:paraId="01519A4D" w14:textId="77777777" w:rsidR="009374C3" w:rsidRDefault="009374C3">
      <w:pPr>
        <w:pStyle w:val="BodyText"/>
        <w:spacing w:before="9"/>
      </w:pPr>
    </w:p>
    <w:p w14:paraId="01519A4E" w14:textId="77777777" w:rsidR="009374C3" w:rsidRDefault="00562C4E">
      <w:pPr>
        <w:pStyle w:val="ListParagraph"/>
        <w:numPr>
          <w:ilvl w:val="1"/>
          <w:numId w:val="2"/>
        </w:numPr>
        <w:tabs>
          <w:tab w:val="left" w:pos="837"/>
        </w:tabs>
        <w:ind w:right="120" w:firstLine="0"/>
        <w:jc w:val="both"/>
        <w:rPr>
          <w:sz w:val="20"/>
        </w:rPr>
      </w:pPr>
      <w:r>
        <w:rPr>
          <w:sz w:val="20"/>
        </w:rPr>
        <w:t>Политиките за ценообразуване на енергията трябва да улеснят използването на топлина с ниска температура, когато такава топлина е подходяща за постигане на желаната крайна цел.</w:t>
      </w:r>
    </w:p>
    <w:p w14:paraId="01519A4F" w14:textId="77777777" w:rsidR="009374C3" w:rsidRDefault="009374C3">
      <w:pPr>
        <w:pStyle w:val="BodyText"/>
        <w:rPr>
          <w:sz w:val="21"/>
        </w:rPr>
      </w:pPr>
    </w:p>
    <w:p w14:paraId="01519A50" w14:textId="77777777" w:rsidR="009374C3" w:rsidRDefault="00562C4E">
      <w:pPr>
        <w:pStyle w:val="ListParagraph"/>
        <w:numPr>
          <w:ilvl w:val="1"/>
          <w:numId w:val="2"/>
        </w:numPr>
        <w:tabs>
          <w:tab w:val="left" w:pos="837"/>
        </w:tabs>
        <w:ind w:right="125" w:firstLine="0"/>
        <w:jc w:val="both"/>
        <w:rPr>
          <w:sz w:val="20"/>
        </w:rPr>
      </w:pPr>
      <w:r>
        <w:rPr>
          <w:sz w:val="20"/>
        </w:rPr>
        <w:t>Маркетинговите практики на комуналните услуги и структурата на тарифите трябва да насърчават ефективното използване и пестенето и да обезкуражават прекомерната употреба на енергия.</w:t>
      </w:r>
    </w:p>
    <w:p w14:paraId="01519A51" w14:textId="77777777" w:rsidR="009374C3" w:rsidRDefault="009374C3">
      <w:pPr>
        <w:pStyle w:val="BodyText"/>
        <w:spacing w:before="9"/>
      </w:pPr>
    </w:p>
    <w:p w14:paraId="01519A52" w14:textId="77777777" w:rsidR="009374C3" w:rsidRDefault="00562C4E">
      <w:pPr>
        <w:pStyle w:val="Heading3"/>
        <w:numPr>
          <w:ilvl w:val="0"/>
          <w:numId w:val="2"/>
        </w:numPr>
        <w:tabs>
          <w:tab w:val="left" w:pos="837"/>
        </w:tabs>
        <w:ind w:hanging="721"/>
        <w:jc w:val="both"/>
      </w:pPr>
      <w:r>
        <w:t>Финансиране</w:t>
      </w:r>
    </w:p>
    <w:p w14:paraId="01519A53" w14:textId="77777777" w:rsidR="009374C3" w:rsidRDefault="009374C3">
      <w:pPr>
        <w:pStyle w:val="BodyText"/>
        <w:spacing w:before="1"/>
        <w:rPr>
          <w:b/>
          <w:sz w:val="21"/>
        </w:rPr>
      </w:pPr>
    </w:p>
    <w:p w14:paraId="01519A54" w14:textId="77777777" w:rsidR="009374C3" w:rsidRDefault="00562C4E">
      <w:pPr>
        <w:pStyle w:val="BodyText"/>
        <w:ind w:left="116" w:right="117"/>
        <w:jc w:val="both"/>
      </w:pPr>
      <w:r>
        <w:t>Преоборудването на съществуващи сгради и дългосрочното развитие на централното отопление са силно желателни от екологична гледна точка и тяхното финансиране трябва да бъде улеснено. Споразуменията за финансиране обаче следва да бъдат обосновани на базата на дългосрочните общи нетни социални ползи, включително ползи за околната среда, произтичащи от комбинираните екологични и енергийни подобрения.</w:t>
      </w:r>
    </w:p>
    <w:p w14:paraId="01519A55" w14:textId="77777777" w:rsidR="009374C3" w:rsidRDefault="009374C3">
      <w:pPr>
        <w:jc w:val="both"/>
        <w:sectPr w:rsidR="009374C3">
          <w:pgSz w:w="11910" w:h="16840"/>
          <w:pgMar w:top="1320" w:right="1300" w:bottom="280" w:left="1300" w:header="849" w:footer="0" w:gutter="0"/>
          <w:cols w:space="720"/>
        </w:sectPr>
      </w:pPr>
    </w:p>
    <w:p w14:paraId="01519A56" w14:textId="77777777" w:rsidR="009374C3" w:rsidRDefault="00562C4E">
      <w:pPr>
        <w:pStyle w:val="Heading3"/>
        <w:numPr>
          <w:ilvl w:val="0"/>
          <w:numId w:val="2"/>
        </w:numPr>
        <w:tabs>
          <w:tab w:val="left" w:pos="836"/>
          <w:tab w:val="left" w:pos="837"/>
        </w:tabs>
        <w:spacing w:before="82"/>
        <w:ind w:hanging="721"/>
      </w:pPr>
      <w:r>
        <w:lastRenderedPageBreak/>
        <w:t>Регламенти</w:t>
      </w:r>
    </w:p>
    <w:p w14:paraId="01519A57" w14:textId="77777777" w:rsidR="009374C3" w:rsidRDefault="009374C3">
      <w:pPr>
        <w:pStyle w:val="BodyText"/>
        <w:spacing w:before="2"/>
        <w:rPr>
          <w:b/>
          <w:sz w:val="21"/>
        </w:rPr>
      </w:pPr>
    </w:p>
    <w:p w14:paraId="01519A58" w14:textId="77777777" w:rsidR="009374C3" w:rsidRDefault="00562C4E">
      <w:pPr>
        <w:pStyle w:val="ListParagraph"/>
        <w:numPr>
          <w:ilvl w:val="1"/>
          <w:numId w:val="2"/>
        </w:numPr>
        <w:tabs>
          <w:tab w:val="left" w:pos="836"/>
          <w:tab w:val="left" w:pos="837"/>
        </w:tabs>
        <w:ind w:right="120" w:firstLine="0"/>
        <w:rPr>
          <w:sz w:val="20"/>
        </w:rPr>
      </w:pPr>
      <w:r>
        <w:rPr>
          <w:sz w:val="20"/>
        </w:rPr>
        <w:t>Повишената топлинна и осветителна ефективност в нови търговски и обществени сгради и нови жилища трябва да се въведе чрез промени в строителните норми и по-добре интегриран дизайн.</w:t>
      </w:r>
    </w:p>
    <w:p w14:paraId="01519A59" w14:textId="77777777" w:rsidR="009374C3" w:rsidRDefault="009374C3">
      <w:pPr>
        <w:pStyle w:val="BodyText"/>
        <w:spacing w:before="11"/>
      </w:pPr>
    </w:p>
    <w:p w14:paraId="01519A5A" w14:textId="77777777" w:rsidR="009374C3" w:rsidRDefault="00562C4E">
      <w:pPr>
        <w:pStyle w:val="ListParagraph"/>
        <w:numPr>
          <w:ilvl w:val="1"/>
          <w:numId w:val="2"/>
        </w:numPr>
        <w:tabs>
          <w:tab w:val="left" w:pos="836"/>
          <w:tab w:val="left" w:pos="837"/>
        </w:tabs>
        <w:ind w:right="113" w:firstLine="0"/>
        <w:rPr>
          <w:sz w:val="20"/>
        </w:rPr>
      </w:pPr>
      <w:r>
        <w:rPr>
          <w:sz w:val="20"/>
        </w:rPr>
        <w:t>Централните и местните власти трябва със своя пример да допринесат за намаляване на разточителната употреба на енергия.</w:t>
      </w:r>
    </w:p>
    <w:p w14:paraId="01519A5B" w14:textId="77777777" w:rsidR="009374C3" w:rsidRDefault="009374C3">
      <w:pPr>
        <w:pStyle w:val="BodyText"/>
        <w:spacing w:before="8"/>
      </w:pPr>
    </w:p>
    <w:p w14:paraId="01519A5C" w14:textId="77777777" w:rsidR="009374C3" w:rsidRDefault="00562C4E">
      <w:pPr>
        <w:pStyle w:val="ListParagraph"/>
        <w:numPr>
          <w:ilvl w:val="1"/>
          <w:numId w:val="2"/>
        </w:numPr>
        <w:tabs>
          <w:tab w:val="left" w:pos="836"/>
          <w:tab w:val="left" w:pos="837"/>
        </w:tabs>
        <w:ind w:right="125" w:firstLine="0"/>
        <w:rPr>
          <w:sz w:val="20"/>
        </w:rPr>
      </w:pPr>
      <w:r>
        <w:rPr>
          <w:sz w:val="20"/>
        </w:rPr>
        <w:t>За всички основни потребителски уреди следва да се въведе етикет за енергийна ефективност, който указва енергийната ефективност на крайната употреба или нетната консумация на енергия.</w:t>
      </w:r>
    </w:p>
    <w:p w14:paraId="01519A5D" w14:textId="77777777" w:rsidR="009374C3" w:rsidRDefault="009374C3">
      <w:pPr>
        <w:pStyle w:val="BodyText"/>
        <w:rPr>
          <w:sz w:val="21"/>
        </w:rPr>
      </w:pPr>
    </w:p>
    <w:p w14:paraId="01519A5E" w14:textId="77777777" w:rsidR="009374C3" w:rsidRDefault="00562C4E">
      <w:pPr>
        <w:pStyle w:val="ListParagraph"/>
        <w:numPr>
          <w:ilvl w:val="1"/>
          <w:numId w:val="2"/>
        </w:numPr>
        <w:tabs>
          <w:tab w:val="left" w:pos="836"/>
          <w:tab w:val="left" w:pos="837"/>
        </w:tabs>
        <w:ind w:right="125" w:firstLine="0"/>
        <w:rPr>
          <w:sz w:val="20"/>
        </w:rPr>
      </w:pPr>
      <w:r>
        <w:rPr>
          <w:sz w:val="20"/>
        </w:rPr>
        <w:t>Трябва да се използват правителствени разпоредби, за да се гарантира ефективна работа на битовите горелки и бойлери, които произвеждат значителни местни ползи за околната среда.</w:t>
      </w:r>
    </w:p>
    <w:p w14:paraId="01519A5F" w14:textId="77777777" w:rsidR="009374C3" w:rsidRDefault="009374C3">
      <w:pPr>
        <w:pStyle w:val="BodyText"/>
        <w:spacing w:before="8"/>
      </w:pPr>
    </w:p>
    <w:p w14:paraId="01519A60" w14:textId="77777777" w:rsidR="009374C3" w:rsidRDefault="00562C4E">
      <w:pPr>
        <w:pStyle w:val="Heading3"/>
        <w:numPr>
          <w:ilvl w:val="0"/>
          <w:numId w:val="2"/>
        </w:numPr>
        <w:tabs>
          <w:tab w:val="left" w:pos="836"/>
          <w:tab w:val="left" w:pos="837"/>
        </w:tabs>
        <w:ind w:hanging="721"/>
      </w:pPr>
      <w:r>
        <w:t>Информационна програма</w:t>
      </w:r>
    </w:p>
    <w:p w14:paraId="01519A61" w14:textId="77777777" w:rsidR="009374C3" w:rsidRDefault="009374C3">
      <w:pPr>
        <w:pStyle w:val="BodyText"/>
        <w:spacing w:before="11"/>
        <w:rPr>
          <w:b/>
        </w:rPr>
      </w:pPr>
    </w:p>
    <w:p w14:paraId="01519A62" w14:textId="77777777" w:rsidR="009374C3" w:rsidRDefault="00562C4E">
      <w:pPr>
        <w:pStyle w:val="BodyText"/>
        <w:ind w:left="116" w:right="120"/>
        <w:jc w:val="both"/>
      </w:pPr>
      <w:r>
        <w:t>Трябва да се осигурят цялостни обществени образователни програми, включително училищни програми и консултантски инструменти и обучение за съответния персонал относно икономическите и екологичните ползи от подобреното използване и опазване на енергията; по-специално трябва да се насърчава ефективното използване на топлина и топла вода.</w:t>
      </w:r>
    </w:p>
    <w:p w14:paraId="01519A63" w14:textId="77777777" w:rsidR="009374C3" w:rsidRDefault="009374C3">
      <w:pPr>
        <w:pStyle w:val="BodyText"/>
        <w:spacing w:before="9"/>
      </w:pPr>
    </w:p>
    <w:p w14:paraId="01519A64" w14:textId="77777777" w:rsidR="009374C3" w:rsidRDefault="00562C4E">
      <w:pPr>
        <w:pStyle w:val="Heading3"/>
        <w:numPr>
          <w:ilvl w:val="0"/>
          <w:numId w:val="2"/>
        </w:numPr>
        <w:tabs>
          <w:tab w:val="left" w:pos="836"/>
          <w:tab w:val="left" w:pos="837"/>
        </w:tabs>
        <w:spacing w:before="1"/>
        <w:ind w:hanging="721"/>
      </w:pPr>
      <w:r>
        <w:t>Институционални договорености</w:t>
      </w:r>
    </w:p>
    <w:p w14:paraId="01519A65" w14:textId="77777777" w:rsidR="009374C3" w:rsidRDefault="009374C3">
      <w:pPr>
        <w:pStyle w:val="BodyText"/>
        <w:spacing w:before="1"/>
        <w:rPr>
          <w:b/>
          <w:sz w:val="21"/>
        </w:rPr>
      </w:pPr>
    </w:p>
    <w:p w14:paraId="01519A66" w14:textId="77777777" w:rsidR="009374C3" w:rsidRDefault="00562C4E">
      <w:pPr>
        <w:pStyle w:val="ListParagraph"/>
        <w:numPr>
          <w:ilvl w:val="1"/>
          <w:numId w:val="2"/>
        </w:numPr>
        <w:tabs>
          <w:tab w:val="left" w:pos="836"/>
          <w:tab w:val="left" w:pos="837"/>
        </w:tabs>
        <w:ind w:right="116" w:firstLine="0"/>
        <w:rPr>
          <w:sz w:val="20"/>
        </w:rPr>
      </w:pPr>
      <w:r>
        <w:rPr>
          <w:sz w:val="20"/>
        </w:rPr>
        <w:t>Националните органи по енергията и околната среда трябва да бъдат насърчавани да координират дейностите си възможно най-тясно.</w:t>
      </w:r>
    </w:p>
    <w:p w14:paraId="01519A67" w14:textId="77777777" w:rsidR="009374C3" w:rsidRDefault="009374C3">
      <w:pPr>
        <w:pStyle w:val="BodyText"/>
        <w:spacing w:before="8"/>
      </w:pPr>
    </w:p>
    <w:p w14:paraId="01519A68" w14:textId="77777777" w:rsidR="009374C3" w:rsidRDefault="00562C4E">
      <w:pPr>
        <w:pStyle w:val="ListParagraph"/>
        <w:numPr>
          <w:ilvl w:val="1"/>
          <w:numId w:val="2"/>
        </w:numPr>
        <w:tabs>
          <w:tab w:val="left" w:pos="836"/>
          <w:tab w:val="left" w:pos="837"/>
        </w:tabs>
        <w:ind w:right="117" w:firstLine="0"/>
        <w:rPr>
          <w:sz w:val="20"/>
        </w:rPr>
      </w:pPr>
      <w:r>
        <w:rPr>
          <w:sz w:val="20"/>
        </w:rPr>
        <w:t>Една от функциите на такива координиращи дейности би била енергийното планиране на регионално ниво, насърчаващо екологично приемливи системи, напр. топлофикация.</w:t>
      </w:r>
    </w:p>
    <w:p w14:paraId="01519A69" w14:textId="77777777" w:rsidR="009374C3" w:rsidRDefault="009374C3">
      <w:pPr>
        <w:rPr>
          <w:sz w:val="20"/>
        </w:rPr>
        <w:sectPr w:rsidR="009374C3">
          <w:pgSz w:w="11910" w:h="16840"/>
          <w:pgMar w:top="1320" w:right="1300" w:bottom="280" w:left="1300" w:header="849" w:footer="0" w:gutter="0"/>
          <w:cols w:space="720"/>
        </w:sectPr>
      </w:pPr>
    </w:p>
    <w:p w14:paraId="01519A6A" w14:textId="77777777" w:rsidR="009374C3" w:rsidRDefault="00562C4E">
      <w:pPr>
        <w:pStyle w:val="Heading2"/>
      </w:pPr>
      <w:bookmarkStart w:id="0" w:name="About_the_OECD"/>
      <w:bookmarkEnd w:id="0"/>
      <w:r>
        <w:rPr>
          <w:color w:val="1F4679"/>
        </w:rPr>
        <w:lastRenderedPageBreak/>
        <w:t>Относно ОИСР</w:t>
      </w:r>
    </w:p>
    <w:p w14:paraId="01519A6B" w14:textId="77777777" w:rsidR="009374C3" w:rsidRDefault="009374C3">
      <w:pPr>
        <w:pStyle w:val="BodyText"/>
        <w:spacing w:before="5"/>
        <w:rPr>
          <w:b/>
          <w:sz w:val="21"/>
        </w:rPr>
      </w:pPr>
    </w:p>
    <w:p w14:paraId="01519A6C" w14:textId="77777777" w:rsidR="009374C3" w:rsidRDefault="00562C4E">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01519A6D" w14:textId="77777777" w:rsidR="009374C3" w:rsidRDefault="009374C3">
      <w:pPr>
        <w:pStyle w:val="BodyText"/>
        <w:spacing w:before="10"/>
      </w:pPr>
    </w:p>
    <w:p w14:paraId="01519A6E" w14:textId="77777777" w:rsidR="009374C3" w:rsidRDefault="00562C4E">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01519A6F" w14:textId="77777777" w:rsidR="009374C3" w:rsidRDefault="009374C3">
      <w:pPr>
        <w:pStyle w:val="BodyText"/>
        <w:rPr>
          <w:sz w:val="22"/>
        </w:rPr>
      </w:pPr>
    </w:p>
    <w:p w14:paraId="01519A70" w14:textId="77777777" w:rsidR="009374C3" w:rsidRDefault="00562C4E">
      <w:pPr>
        <w:pStyle w:val="Heading2"/>
        <w:spacing w:before="141"/>
      </w:pPr>
      <w:bookmarkStart w:id="1" w:name="OECD_Legal_Instruments"/>
      <w:bookmarkEnd w:id="1"/>
      <w:r>
        <w:rPr>
          <w:color w:val="1F4679"/>
        </w:rPr>
        <w:t>Правни инструменти на ОИСР</w:t>
      </w:r>
    </w:p>
    <w:p w14:paraId="01519A71" w14:textId="77777777" w:rsidR="009374C3" w:rsidRDefault="009374C3">
      <w:pPr>
        <w:pStyle w:val="BodyText"/>
        <w:spacing w:before="7"/>
        <w:rPr>
          <w:b/>
          <w:sz w:val="21"/>
        </w:rPr>
      </w:pPr>
    </w:p>
    <w:p w14:paraId="01519A72" w14:textId="77777777" w:rsidR="009374C3" w:rsidRDefault="00562C4E">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01519A73" w14:textId="77777777" w:rsidR="009374C3" w:rsidRDefault="009374C3">
      <w:pPr>
        <w:pStyle w:val="BodyText"/>
        <w:spacing w:before="10"/>
      </w:pPr>
    </w:p>
    <w:p w14:paraId="01519A74" w14:textId="77777777" w:rsidR="009374C3" w:rsidRDefault="00562C4E">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01519A75" w14:textId="77777777" w:rsidR="009374C3" w:rsidRDefault="009374C3">
      <w:pPr>
        <w:pStyle w:val="BodyText"/>
        <w:spacing w:before="8"/>
        <w:rPr>
          <w:sz w:val="18"/>
        </w:rPr>
      </w:pPr>
    </w:p>
    <w:p w14:paraId="01519A76" w14:textId="77777777" w:rsidR="009374C3" w:rsidRDefault="00562C4E">
      <w:pPr>
        <w:pStyle w:val="ListParagraph"/>
        <w:numPr>
          <w:ilvl w:val="0"/>
          <w:numId w:val="1"/>
        </w:numPr>
        <w:tabs>
          <w:tab w:val="left" w:pos="852"/>
          <w:tab w:val="left" w:pos="853"/>
        </w:tabs>
        <w:spacing w:line="242"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01519A77" w14:textId="77777777" w:rsidR="009374C3" w:rsidRDefault="009374C3">
      <w:pPr>
        <w:pStyle w:val="BodyText"/>
        <w:spacing w:before="7"/>
        <w:rPr>
          <w:sz w:val="17"/>
        </w:rPr>
      </w:pPr>
    </w:p>
    <w:p w14:paraId="01519A78" w14:textId="77777777" w:rsidR="009374C3" w:rsidRDefault="00562C4E">
      <w:pPr>
        <w:pStyle w:val="ListParagraph"/>
        <w:numPr>
          <w:ilvl w:val="0"/>
          <w:numId w:val="1"/>
        </w:numPr>
        <w:tabs>
          <w:tab w:val="left" w:pos="852"/>
          <w:tab w:val="left" w:pos="853"/>
        </w:tabs>
        <w:spacing w:line="242"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държави ще направят всичко възможно, за да ги изпълнят.</w:t>
      </w:r>
    </w:p>
    <w:p w14:paraId="01519A79" w14:textId="77777777" w:rsidR="009374C3" w:rsidRDefault="009374C3">
      <w:pPr>
        <w:pStyle w:val="BodyText"/>
        <w:spacing w:before="7"/>
        <w:rPr>
          <w:sz w:val="17"/>
        </w:rPr>
      </w:pPr>
    </w:p>
    <w:p w14:paraId="01519A7A" w14:textId="77777777" w:rsidR="009374C3" w:rsidRDefault="00562C4E">
      <w:pPr>
        <w:pStyle w:val="ListParagraph"/>
        <w:numPr>
          <w:ilvl w:val="0"/>
          <w:numId w:val="1"/>
        </w:numPr>
        <w:tabs>
          <w:tab w:val="left" w:pos="852"/>
          <w:tab w:val="left" w:pos="853"/>
        </w:tabs>
        <w:spacing w:line="242"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01519A7B" w14:textId="77777777" w:rsidR="009374C3" w:rsidRDefault="009374C3">
      <w:pPr>
        <w:pStyle w:val="BodyText"/>
        <w:spacing w:before="10"/>
        <w:rPr>
          <w:sz w:val="17"/>
        </w:rPr>
      </w:pPr>
    </w:p>
    <w:p w14:paraId="01519A7C" w14:textId="77777777" w:rsidR="009374C3" w:rsidRDefault="00562C4E">
      <w:pPr>
        <w:pStyle w:val="ListParagraph"/>
        <w:numPr>
          <w:ilvl w:val="0"/>
          <w:numId w:val="1"/>
        </w:numPr>
        <w:tabs>
          <w:tab w:val="left" w:pos="852"/>
          <w:tab w:val="left" w:pos="853"/>
        </w:tabs>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01519A7D" w14:textId="77777777" w:rsidR="009374C3" w:rsidRDefault="009374C3">
      <w:pPr>
        <w:pStyle w:val="BodyText"/>
        <w:spacing w:before="7"/>
        <w:rPr>
          <w:sz w:val="19"/>
        </w:rPr>
      </w:pPr>
    </w:p>
    <w:p w14:paraId="01519A7E" w14:textId="77777777" w:rsidR="009374C3" w:rsidRDefault="00562C4E">
      <w:pPr>
        <w:pStyle w:val="ListParagraph"/>
        <w:numPr>
          <w:ilvl w:val="0"/>
          <w:numId w:val="1"/>
        </w:numPr>
        <w:tabs>
          <w:tab w:val="left" w:pos="852"/>
          <w:tab w:val="left" w:pos="853"/>
        </w:tabs>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9374C3">
      <w:headerReference w:type="even"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E9EEEB" w14:textId="77777777" w:rsidR="007E49DB" w:rsidRDefault="007E49DB">
      <w:r>
        <w:separator/>
      </w:r>
    </w:p>
  </w:endnote>
  <w:endnote w:type="continuationSeparator" w:id="0">
    <w:p w14:paraId="4EBE5EF7" w14:textId="77777777" w:rsidR="007E49DB" w:rsidRDefault="007E4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3F23A" w14:textId="77777777" w:rsidR="007E49DB" w:rsidRDefault="007E49DB">
      <w:r>
        <w:separator/>
      </w:r>
    </w:p>
  </w:footnote>
  <w:footnote w:type="continuationSeparator" w:id="0">
    <w:p w14:paraId="3F8DC760" w14:textId="77777777" w:rsidR="007E49DB" w:rsidRDefault="007E49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19A86" w14:textId="77777777" w:rsidR="009374C3" w:rsidRDefault="007E49DB">
    <w:pPr>
      <w:pStyle w:val="BodyText"/>
      <w:spacing w:line="14" w:lineRule="auto"/>
    </w:pPr>
    <w:r>
      <w:pict w14:anchorId="01519A89">
        <v:line id="_x0000_s1026" style="position:absolute;z-index:-15880704;mso-position-horizontal-relative:page;mso-position-vertical-relative:page" from="158pt,56.05pt" to="554.1pt,56.05pt" strokecolor="#2a2928" strokeweight=".63pt">
          <w10:wrap anchorx="page" anchory="page"/>
        </v:line>
      </w:pict>
    </w:r>
    <w:r>
      <w:pict w14:anchorId="01519A8A">
        <v:shapetype id="_x0000_t202" coordsize="21600,21600" o:spt="202" path="m,l,21600r21600,l21600,xe">
          <v:stroke joinstyle="miter"/>
          <v:path gradientshapeok="t" o:connecttype="rect"/>
        </v:shapetype>
        <v:shape id="_x0000_s1025" type="#_x0000_t202" style="position:absolute;margin-left:39.5pt;margin-top:41.45pt;width:124.15pt;height:16.05pt;z-index:-15880192;mso-position-horizontal-relative:page;mso-position-vertical-relative:page" filled="f" stroked="f">
          <v:textbox inset="0,0,0,0">
            <w:txbxContent>
              <w:p w14:paraId="01519A90" w14:textId="7063E17C" w:rsidR="009374C3" w:rsidRPr="009E7EB2" w:rsidRDefault="009E7EB2">
                <w:pPr>
                  <w:pStyle w:val="BodyText"/>
                  <w:tabs>
                    <w:tab w:val="left" w:pos="626"/>
                  </w:tabs>
                  <w:spacing w:before="18"/>
                  <w:ind w:left="60"/>
                  <w:rPr>
                    <w:lang w:val="en-US"/>
                  </w:rPr>
                </w:pPr>
                <w:r>
                  <w:rPr>
                    <w:lang w:val="en-US"/>
                  </w:rPr>
                  <w:t>OECD/LEGAL/0157</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19A87" w14:textId="77777777" w:rsidR="009374C3" w:rsidRDefault="007E49DB">
    <w:pPr>
      <w:pStyle w:val="BodyText"/>
      <w:spacing w:line="14" w:lineRule="auto"/>
    </w:pPr>
    <w:r>
      <w:pict w14:anchorId="01519A8B">
        <v:line id="_x0000_s1028" style="position:absolute;z-index:-15881728;mso-position-horizontal-relative:page;mso-position-vertical-relative:page" from="42.5pt,56.05pt" to="438.6pt,56.05pt" strokecolor="#2a2928" strokeweight=".63pt">
          <w10:wrap anchorx="page" anchory="page"/>
        </v:line>
      </w:pict>
    </w:r>
    <w:r>
      <w:pict w14:anchorId="01519A8C">
        <v:shapetype id="_x0000_t202" coordsize="21600,21600" o:spt="202" path="m,l,21600r21600,l21600,xe">
          <v:stroke joinstyle="miter"/>
          <v:path gradientshapeok="t" o:connecttype="rect"/>
        </v:shapetype>
        <v:shape id="_x0000_s1027" type="#_x0000_t202" style="position:absolute;margin-left:432.1pt;margin-top:41.45pt;width:126pt;height:16.05pt;z-index:-15881216;mso-position-horizontal-relative:page;mso-position-vertical-relative:page" filled="f" stroked="f">
          <v:textbox inset="0,0,0,0">
            <w:txbxContent>
              <w:p w14:paraId="01519A8F" w14:textId="51506118" w:rsidR="009374C3" w:rsidRPr="00EF0C8E" w:rsidRDefault="00EF0C8E">
                <w:pPr>
                  <w:pStyle w:val="BodyText"/>
                  <w:tabs>
                    <w:tab w:val="left" w:pos="2308"/>
                  </w:tabs>
                  <w:spacing w:before="18"/>
                  <w:ind w:left="20"/>
                  <w:rPr>
                    <w:lang w:val="en-US"/>
                  </w:rPr>
                </w:pPr>
                <w:r>
                  <w:rPr>
                    <w:color w:val="2B2A29"/>
                    <w:lang w:val="en-US"/>
                  </w:rPr>
                  <w:t>OECD/LEGAL/</w:t>
                </w:r>
                <w:r w:rsidR="009E7EB2">
                  <w:rPr>
                    <w:color w:val="2B2A29"/>
                    <w:lang w:val="en-US"/>
                  </w:rPr>
                  <w:t>0157</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19A88" w14:textId="77777777" w:rsidR="009374C3" w:rsidRDefault="009374C3">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0C7AD8"/>
    <w:multiLevelType w:val="hybridMultilevel"/>
    <w:tmpl w:val="1260574C"/>
    <w:lvl w:ilvl="0" w:tplc="5CD02B42">
      <w:start w:val="1"/>
      <w:numFmt w:val="upperRoman"/>
      <w:lvlText w:val="%1."/>
      <w:lvlJc w:val="left"/>
      <w:pPr>
        <w:ind w:left="836" w:hanging="720"/>
        <w:jc w:val="left"/>
      </w:pPr>
      <w:rPr>
        <w:rFonts w:ascii="Arial" w:eastAsia="Arial" w:hAnsi="Arial" w:cs="Arial" w:hint="default"/>
        <w:b/>
        <w:bCs/>
        <w:spacing w:val="-1"/>
        <w:w w:val="99"/>
        <w:sz w:val="20"/>
        <w:szCs w:val="20"/>
        <w:lang w:val="en-US" w:eastAsia="en-US" w:bidi="ar-SA"/>
      </w:rPr>
    </w:lvl>
    <w:lvl w:ilvl="1" w:tplc="0D5848C0">
      <w:start w:val="1"/>
      <w:numFmt w:val="decimal"/>
      <w:lvlText w:val="%2."/>
      <w:lvlJc w:val="left"/>
      <w:pPr>
        <w:ind w:left="116" w:hanging="720"/>
        <w:jc w:val="left"/>
      </w:pPr>
      <w:rPr>
        <w:rFonts w:ascii="Arial" w:eastAsia="Arial" w:hAnsi="Arial" w:cs="Arial" w:hint="default"/>
        <w:spacing w:val="-1"/>
        <w:w w:val="99"/>
        <w:sz w:val="20"/>
        <w:szCs w:val="20"/>
        <w:lang w:val="en-US" w:eastAsia="en-US" w:bidi="ar-SA"/>
      </w:rPr>
    </w:lvl>
    <w:lvl w:ilvl="2" w:tplc="6DDC018E">
      <w:numFmt w:val="bullet"/>
      <w:lvlText w:val="•"/>
      <w:lvlJc w:val="left"/>
      <w:pPr>
        <w:ind w:left="1780" w:hanging="720"/>
      </w:pPr>
      <w:rPr>
        <w:rFonts w:hint="default"/>
        <w:lang w:val="en-US" w:eastAsia="en-US" w:bidi="ar-SA"/>
      </w:rPr>
    </w:lvl>
    <w:lvl w:ilvl="3" w:tplc="063A268C">
      <w:numFmt w:val="bullet"/>
      <w:lvlText w:val="•"/>
      <w:lvlJc w:val="left"/>
      <w:pPr>
        <w:ind w:left="2721" w:hanging="720"/>
      </w:pPr>
      <w:rPr>
        <w:rFonts w:hint="default"/>
        <w:lang w:val="en-US" w:eastAsia="en-US" w:bidi="ar-SA"/>
      </w:rPr>
    </w:lvl>
    <w:lvl w:ilvl="4" w:tplc="2EEA20D0">
      <w:numFmt w:val="bullet"/>
      <w:lvlText w:val="•"/>
      <w:lvlJc w:val="left"/>
      <w:pPr>
        <w:ind w:left="3662" w:hanging="720"/>
      </w:pPr>
      <w:rPr>
        <w:rFonts w:hint="default"/>
        <w:lang w:val="en-US" w:eastAsia="en-US" w:bidi="ar-SA"/>
      </w:rPr>
    </w:lvl>
    <w:lvl w:ilvl="5" w:tplc="4E3A78F6">
      <w:numFmt w:val="bullet"/>
      <w:lvlText w:val="•"/>
      <w:lvlJc w:val="left"/>
      <w:pPr>
        <w:ind w:left="4602" w:hanging="720"/>
      </w:pPr>
      <w:rPr>
        <w:rFonts w:hint="default"/>
        <w:lang w:val="en-US" w:eastAsia="en-US" w:bidi="ar-SA"/>
      </w:rPr>
    </w:lvl>
    <w:lvl w:ilvl="6" w:tplc="FE06E0F0">
      <w:numFmt w:val="bullet"/>
      <w:lvlText w:val="•"/>
      <w:lvlJc w:val="left"/>
      <w:pPr>
        <w:ind w:left="5543" w:hanging="720"/>
      </w:pPr>
      <w:rPr>
        <w:rFonts w:hint="default"/>
        <w:lang w:val="en-US" w:eastAsia="en-US" w:bidi="ar-SA"/>
      </w:rPr>
    </w:lvl>
    <w:lvl w:ilvl="7" w:tplc="D8C0F6A0">
      <w:numFmt w:val="bullet"/>
      <w:lvlText w:val="•"/>
      <w:lvlJc w:val="left"/>
      <w:pPr>
        <w:ind w:left="6484" w:hanging="720"/>
      </w:pPr>
      <w:rPr>
        <w:rFonts w:hint="default"/>
        <w:lang w:val="en-US" w:eastAsia="en-US" w:bidi="ar-SA"/>
      </w:rPr>
    </w:lvl>
    <w:lvl w:ilvl="8" w:tplc="16FAB2B0">
      <w:numFmt w:val="bullet"/>
      <w:lvlText w:val="•"/>
      <w:lvlJc w:val="left"/>
      <w:pPr>
        <w:ind w:left="7424" w:hanging="720"/>
      </w:pPr>
      <w:rPr>
        <w:rFonts w:hint="default"/>
        <w:lang w:val="en-US" w:eastAsia="en-US" w:bidi="ar-SA"/>
      </w:rPr>
    </w:lvl>
  </w:abstractNum>
  <w:abstractNum w:abstractNumId="1" w15:restartNumberingAfterBreak="0">
    <w:nsid w:val="327F01D0"/>
    <w:multiLevelType w:val="hybridMultilevel"/>
    <w:tmpl w:val="56F0970C"/>
    <w:lvl w:ilvl="0" w:tplc="27729734">
      <w:numFmt w:val="bullet"/>
      <w:lvlText w:val=""/>
      <w:lvlJc w:val="left"/>
      <w:pPr>
        <w:ind w:left="852" w:hanging="711"/>
      </w:pPr>
      <w:rPr>
        <w:rFonts w:ascii="Symbol" w:eastAsia="Symbol" w:hAnsi="Symbol" w:cs="Symbol" w:hint="default"/>
        <w:w w:val="95"/>
        <w:sz w:val="20"/>
        <w:szCs w:val="20"/>
        <w:lang w:val="en-US" w:eastAsia="en-US" w:bidi="ar-SA"/>
      </w:rPr>
    </w:lvl>
    <w:lvl w:ilvl="1" w:tplc="2036F85C">
      <w:numFmt w:val="bullet"/>
      <w:lvlText w:val="•"/>
      <w:lvlJc w:val="left"/>
      <w:pPr>
        <w:ind w:left="1712" w:hanging="711"/>
      </w:pPr>
      <w:rPr>
        <w:rFonts w:hint="default"/>
        <w:lang w:val="en-US" w:eastAsia="en-US" w:bidi="ar-SA"/>
      </w:rPr>
    </w:lvl>
    <w:lvl w:ilvl="2" w:tplc="9C6A201C">
      <w:numFmt w:val="bullet"/>
      <w:lvlText w:val="•"/>
      <w:lvlJc w:val="left"/>
      <w:pPr>
        <w:ind w:left="2564" w:hanging="711"/>
      </w:pPr>
      <w:rPr>
        <w:rFonts w:hint="default"/>
        <w:lang w:val="en-US" w:eastAsia="en-US" w:bidi="ar-SA"/>
      </w:rPr>
    </w:lvl>
    <w:lvl w:ilvl="3" w:tplc="4B5A5170">
      <w:numFmt w:val="bullet"/>
      <w:lvlText w:val="•"/>
      <w:lvlJc w:val="left"/>
      <w:pPr>
        <w:ind w:left="3416" w:hanging="711"/>
      </w:pPr>
      <w:rPr>
        <w:rFonts w:hint="default"/>
        <w:lang w:val="en-US" w:eastAsia="en-US" w:bidi="ar-SA"/>
      </w:rPr>
    </w:lvl>
    <w:lvl w:ilvl="4" w:tplc="A0C2DE74">
      <w:numFmt w:val="bullet"/>
      <w:lvlText w:val="•"/>
      <w:lvlJc w:val="left"/>
      <w:pPr>
        <w:ind w:left="4268" w:hanging="711"/>
      </w:pPr>
      <w:rPr>
        <w:rFonts w:hint="default"/>
        <w:lang w:val="en-US" w:eastAsia="en-US" w:bidi="ar-SA"/>
      </w:rPr>
    </w:lvl>
    <w:lvl w:ilvl="5" w:tplc="91B2FC8E">
      <w:numFmt w:val="bullet"/>
      <w:lvlText w:val="•"/>
      <w:lvlJc w:val="left"/>
      <w:pPr>
        <w:ind w:left="5120" w:hanging="711"/>
      </w:pPr>
      <w:rPr>
        <w:rFonts w:hint="default"/>
        <w:lang w:val="en-US" w:eastAsia="en-US" w:bidi="ar-SA"/>
      </w:rPr>
    </w:lvl>
    <w:lvl w:ilvl="6" w:tplc="6672A968">
      <w:numFmt w:val="bullet"/>
      <w:lvlText w:val="•"/>
      <w:lvlJc w:val="left"/>
      <w:pPr>
        <w:ind w:left="5972" w:hanging="711"/>
      </w:pPr>
      <w:rPr>
        <w:rFonts w:hint="default"/>
        <w:lang w:val="en-US" w:eastAsia="en-US" w:bidi="ar-SA"/>
      </w:rPr>
    </w:lvl>
    <w:lvl w:ilvl="7" w:tplc="667E694A">
      <w:numFmt w:val="bullet"/>
      <w:lvlText w:val="•"/>
      <w:lvlJc w:val="left"/>
      <w:pPr>
        <w:ind w:left="6824" w:hanging="711"/>
      </w:pPr>
      <w:rPr>
        <w:rFonts w:hint="default"/>
        <w:lang w:val="en-US" w:eastAsia="en-US" w:bidi="ar-SA"/>
      </w:rPr>
    </w:lvl>
    <w:lvl w:ilvl="8" w:tplc="93D86DB0">
      <w:numFmt w:val="bullet"/>
      <w:lvlText w:val="•"/>
      <w:lvlJc w:val="left"/>
      <w:pPr>
        <w:ind w:left="7676" w:hanging="711"/>
      </w:pPr>
      <w:rPr>
        <w:rFonts w:hint="default"/>
        <w:lang w:val="en-US" w:eastAsia="en-US" w:bidi="ar-SA"/>
      </w:rPr>
    </w:lvl>
  </w:abstractNum>
  <w:abstractNum w:abstractNumId="2" w15:restartNumberingAfterBreak="0">
    <w:nsid w:val="4AD75D50"/>
    <w:multiLevelType w:val="hybridMultilevel"/>
    <w:tmpl w:val="145A0C8C"/>
    <w:lvl w:ilvl="0" w:tplc="CD12D4AE">
      <w:start w:val="1"/>
      <w:numFmt w:val="decimal"/>
      <w:lvlText w:val="%1."/>
      <w:lvlJc w:val="left"/>
      <w:pPr>
        <w:ind w:left="116" w:hanging="850"/>
        <w:jc w:val="left"/>
      </w:pPr>
      <w:rPr>
        <w:rFonts w:ascii="Arial" w:eastAsia="Arial" w:hAnsi="Arial" w:cs="Arial" w:hint="default"/>
        <w:spacing w:val="-1"/>
        <w:w w:val="99"/>
        <w:sz w:val="20"/>
        <w:szCs w:val="20"/>
        <w:lang w:val="en-US" w:eastAsia="en-US" w:bidi="ar-SA"/>
      </w:rPr>
    </w:lvl>
    <w:lvl w:ilvl="1" w:tplc="CA8880E6">
      <w:numFmt w:val="bullet"/>
      <w:lvlText w:val="•"/>
      <w:lvlJc w:val="left"/>
      <w:pPr>
        <w:ind w:left="1038" w:hanging="850"/>
      </w:pPr>
      <w:rPr>
        <w:rFonts w:hint="default"/>
        <w:lang w:val="en-US" w:eastAsia="en-US" w:bidi="ar-SA"/>
      </w:rPr>
    </w:lvl>
    <w:lvl w:ilvl="2" w:tplc="88E2CDA8">
      <w:numFmt w:val="bullet"/>
      <w:lvlText w:val="•"/>
      <w:lvlJc w:val="left"/>
      <w:pPr>
        <w:ind w:left="1957" w:hanging="850"/>
      </w:pPr>
      <w:rPr>
        <w:rFonts w:hint="default"/>
        <w:lang w:val="en-US" w:eastAsia="en-US" w:bidi="ar-SA"/>
      </w:rPr>
    </w:lvl>
    <w:lvl w:ilvl="3" w:tplc="25A45FA8">
      <w:numFmt w:val="bullet"/>
      <w:lvlText w:val="•"/>
      <w:lvlJc w:val="left"/>
      <w:pPr>
        <w:ind w:left="2875" w:hanging="850"/>
      </w:pPr>
      <w:rPr>
        <w:rFonts w:hint="default"/>
        <w:lang w:val="en-US" w:eastAsia="en-US" w:bidi="ar-SA"/>
      </w:rPr>
    </w:lvl>
    <w:lvl w:ilvl="4" w:tplc="474221D8">
      <w:numFmt w:val="bullet"/>
      <w:lvlText w:val="•"/>
      <w:lvlJc w:val="left"/>
      <w:pPr>
        <w:ind w:left="3794" w:hanging="850"/>
      </w:pPr>
      <w:rPr>
        <w:rFonts w:hint="default"/>
        <w:lang w:val="en-US" w:eastAsia="en-US" w:bidi="ar-SA"/>
      </w:rPr>
    </w:lvl>
    <w:lvl w:ilvl="5" w:tplc="CEB6D450">
      <w:numFmt w:val="bullet"/>
      <w:lvlText w:val="•"/>
      <w:lvlJc w:val="left"/>
      <w:pPr>
        <w:ind w:left="4713" w:hanging="850"/>
      </w:pPr>
      <w:rPr>
        <w:rFonts w:hint="default"/>
        <w:lang w:val="en-US" w:eastAsia="en-US" w:bidi="ar-SA"/>
      </w:rPr>
    </w:lvl>
    <w:lvl w:ilvl="6" w:tplc="7DE4034C">
      <w:numFmt w:val="bullet"/>
      <w:lvlText w:val="•"/>
      <w:lvlJc w:val="left"/>
      <w:pPr>
        <w:ind w:left="5631" w:hanging="850"/>
      </w:pPr>
      <w:rPr>
        <w:rFonts w:hint="default"/>
        <w:lang w:val="en-US" w:eastAsia="en-US" w:bidi="ar-SA"/>
      </w:rPr>
    </w:lvl>
    <w:lvl w:ilvl="7" w:tplc="D7F6A140">
      <w:numFmt w:val="bullet"/>
      <w:lvlText w:val="•"/>
      <w:lvlJc w:val="left"/>
      <w:pPr>
        <w:ind w:left="6550" w:hanging="850"/>
      </w:pPr>
      <w:rPr>
        <w:rFonts w:hint="default"/>
        <w:lang w:val="en-US" w:eastAsia="en-US" w:bidi="ar-SA"/>
      </w:rPr>
    </w:lvl>
    <w:lvl w:ilvl="8" w:tplc="97786118">
      <w:numFmt w:val="bullet"/>
      <w:lvlText w:val="•"/>
      <w:lvlJc w:val="left"/>
      <w:pPr>
        <w:ind w:left="7469" w:hanging="850"/>
      </w:pPr>
      <w:rPr>
        <w:rFonts w:hint="default"/>
        <w:lang w:val="en-US" w:eastAsia="en-US" w:bidi="ar-S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evenAndOddHeaders/>
  <w:drawingGridHorizontalSpacing w:val="110"/>
  <w:displayHorizontalDrawingGridEvery w:val="2"/>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9374C3"/>
    <w:rsid w:val="00562C4E"/>
    <w:rsid w:val="007E49DB"/>
    <w:rsid w:val="00812330"/>
    <w:rsid w:val="009374C3"/>
    <w:rsid w:val="009E7EB2"/>
    <w:rsid w:val="00B05AEC"/>
    <w:rsid w:val="00BC4D67"/>
    <w:rsid w:val="00C82708"/>
    <w:rsid w:val="00EF0C8E"/>
    <w:rsid w:val="00F936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015199A7"/>
  <w15:docId w15:val="{687AD3AC-164C-490D-A2BA-7FBFB7B8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1267" w:hanging="368"/>
      <w:outlineLvl w:val="0"/>
    </w:pPr>
    <w:rPr>
      <w:sz w:val="40"/>
      <w:szCs w:val="40"/>
    </w:rPr>
  </w:style>
  <w:style w:type="paragraph" w:styleId="Heading2">
    <w:name w:val="heading 2"/>
    <w:basedOn w:val="Normal"/>
    <w:uiPriority w:val="9"/>
    <w:unhideWhenUsed/>
    <w:qFormat/>
    <w:pPr>
      <w:spacing w:before="73"/>
      <w:ind w:left="116"/>
      <w:jc w:val="both"/>
      <w:outlineLvl w:val="1"/>
    </w:pPr>
    <w:rPr>
      <w:b/>
      <w:bCs/>
      <w:sz w:val="24"/>
      <w:szCs w:val="24"/>
    </w:rPr>
  </w:style>
  <w:style w:type="paragraph" w:styleId="Heading3">
    <w:name w:val="heading 3"/>
    <w:basedOn w:val="Normal"/>
    <w:uiPriority w:val="9"/>
    <w:unhideWhenUsed/>
    <w:qFormat/>
    <w:pPr>
      <w:ind w:left="836" w:hanging="721"/>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16"/>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EF0C8E"/>
    <w:pPr>
      <w:tabs>
        <w:tab w:val="center" w:pos="4513"/>
        <w:tab w:val="right" w:pos="9026"/>
      </w:tabs>
    </w:pPr>
  </w:style>
  <w:style w:type="character" w:customStyle="1" w:styleId="HeaderChar">
    <w:name w:val="Header Char"/>
    <w:basedOn w:val="DefaultParagraphFont"/>
    <w:link w:val="Header"/>
    <w:uiPriority w:val="99"/>
    <w:rsid w:val="00EF0C8E"/>
    <w:rPr>
      <w:rFonts w:ascii="Arial" w:eastAsia="Arial" w:hAnsi="Arial" w:cs="Arial"/>
    </w:rPr>
  </w:style>
  <w:style w:type="paragraph" w:styleId="Footer">
    <w:name w:val="footer"/>
    <w:basedOn w:val="Normal"/>
    <w:link w:val="FooterChar"/>
    <w:uiPriority w:val="99"/>
    <w:unhideWhenUsed/>
    <w:rsid w:val="00EF0C8E"/>
    <w:pPr>
      <w:tabs>
        <w:tab w:val="center" w:pos="4513"/>
        <w:tab w:val="right" w:pos="9026"/>
      </w:tabs>
    </w:pPr>
  </w:style>
  <w:style w:type="character" w:customStyle="1" w:styleId="FooterChar">
    <w:name w:val="Footer Char"/>
    <w:basedOn w:val="DefaultParagraphFont"/>
    <w:link w:val="Footer"/>
    <w:uiPriority w:val="99"/>
    <w:rsid w:val="00EF0C8E"/>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53DEFDB-7C92-4D47-8691-73B378770856}"/>
</file>

<file path=customXml/itemProps2.xml><?xml version="1.0" encoding="utf-8"?>
<ds:datastoreItem xmlns:ds="http://schemas.openxmlformats.org/officeDocument/2006/customXml" ds:itemID="{CD7C460F-5679-42E8-A14D-5F75CD29FC43}">
  <ds:schemaRefs>
    <ds:schemaRef ds:uri="http://schemas.microsoft.com/sharepoint/v3/contenttype/forms"/>
  </ds:schemaRefs>
</ds:datastoreItem>
</file>

<file path=customXml/itemProps3.xml><?xml version="1.0" encoding="utf-8"?>
<ds:datastoreItem xmlns:ds="http://schemas.openxmlformats.org/officeDocument/2006/customXml" ds:itemID="{5B6782F6-5327-4566-869F-EB5594502F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Pages>
  <Words>2047</Words>
  <Characters>11671</Characters>
  <Application>Microsoft Office Word</Application>
  <DocSecurity>0</DocSecurity>
  <Lines>97</Lines>
  <Paragraphs>27</Paragraphs>
  <ScaleCrop>false</ScaleCrop>
  <Company/>
  <LinksUpToDate>false</LinksUpToDate>
  <CharactersWithSpaces>13691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7</cp:revision>
  <dcterms:created xsi:type="dcterms:W3CDTF">2022-01-19T08:16:00Z</dcterms:created>
  <dcterms:modified xsi:type="dcterms:W3CDTF">2022-01-31T09:22:00Z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